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F8D6C" w14:textId="36211C4F" w:rsidR="00EE613C" w:rsidRPr="00A8041F" w:rsidRDefault="003B42A8" w:rsidP="00C556B4">
      <w:pPr>
        <w:pStyle w:val="Kop2"/>
        <w:spacing w:after="0"/>
        <w:jc w:val="center"/>
        <w:rPr>
          <w:lang w:val="fr-FR"/>
        </w:rPr>
      </w:pPr>
      <w:bookmarkStart w:id="0" w:name="_Toc80355253"/>
      <w:r w:rsidRPr="00A8041F">
        <w:rPr>
          <w:lang w:val="fr-FR"/>
        </w:rPr>
        <w:t>Suivi des délais de paiement :</w:t>
      </w:r>
    </w:p>
    <w:p w14:paraId="5C46F7EB" w14:textId="78785E2A" w:rsidR="00950FD5" w:rsidRPr="00A8041F" w:rsidRDefault="00B6401A" w:rsidP="00EE613C">
      <w:pPr>
        <w:pStyle w:val="Kop2"/>
        <w:jc w:val="center"/>
        <w:rPr>
          <w:lang w:val="fr-FR"/>
        </w:rPr>
      </w:pPr>
      <w:r w:rsidRPr="00A8041F">
        <w:rPr>
          <w:lang w:val="fr-FR"/>
        </w:rPr>
        <w:t>202</w:t>
      </w:r>
      <w:r w:rsidR="00F66DEE">
        <w:rPr>
          <w:lang w:val="fr-FR"/>
        </w:rPr>
        <w:t>2</w:t>
      </w:r>
    </w:p>
    <w:p w14:paraId="3313CFC5" w14:textId="0EA0B156" w:rsidR="000B6DDE" w:rsidRPr="00A8041F" w:rsidRDefault="000B6DDE" w:rsidP="000B6DDE">
      <w:pPr>
        <w:rPr>
          <w:lang w:val="fr-FR"/>
        </w:rPr>
      </w:pPr>
      <w:r w:rsidRPr="00A8041F">
        <w:rPr>
          <w:lang w:val="fr-FR"/>
        </w:rPr>
        <w:t>Dans le cadre d</w:t>
      </w:r>
      <w:r w:rsidR="00874E9C">
        <w:rPr>
          <w:lang w:val="fr-FR"/>
        </w:rPr>
        <w:t xml:space="preserve"> </w:t>
      </w:r>
      <w:r w:rsidRPr="00A8041F">
        <w:rPr>
          <w:lang w:val="fr-FR"/>
        </w:rPr>
        <w:t>’un suivi systématique du comportement de paiement des SPF et SPP, un monitoring des paiements a été mis en place. Un aperçu du comportement de paiement des SPF et SPP sera fourni tous les trois mois.</w:t>
      </w:r>
    </w:p>
    <w:p w14:paraId="21316920" w14:textId="7F352C46" w:rsidR="00280B85" w:rsidRPr="00A8041F" w:rsidRDefault="00280B85" w:rsidP="00280B85">
      <w:pPr>
        <w:rPr>
          <w:lang w:val="fr-FR"/>
        </w:rPr>
      </w:pPr>
      <w:r w:rsidRPr="00A8041F">
        <w:rPr>
          <w:lang w:val="fr-FR"/>
        </w:rPr>
        <w:t xml:space="preserve">Le suivi du comportement de paiement a pour double objectif de pouvoir communiquer de manière transparente et uniforme avec les autorités de contrôle et de pouvoir suivre </w:t>
      </w:r>
      <w:r w:rsidR="00FA0285">
        <w:rPr>
          <w:lang w:val="fr-FR"/>
        </w:rPr>
        <w:t xml:space="preserve">– et </w:t>
      </w:r>
      <w:r w:rsidR="00233FDC">
        <w:rPr>
          <w:lang w:val="fr-FR"/>
        </w:rPr>
        <w:t xml:space="preserve">éventuellement corriger – le </w:t>
      </w:r>
      <w:r w:rsidRPr="00A8041F">
        <w:rPr>
          <w:lang w:val="fr-FR"/>
        </w:rPr>
        <w:t>comportement de paiement au sein de l’administration générale de l’État fédéral.</w:t>
      </w:r>
    </w:p>
    <w:p w14:paraId="6501C512" w14:textId="0ADCE1EE" w:rsidR="003B42A8" w:rsidRPr="00A8041F" w:rsidRDefault="003B42A8" w:rsidP="003B42A8">
      <w:pPr>
        <w:rPr>
          <w:lang w:val="fr-FR"/>
        </w:rPr>
      </w:pPr>
      <w:r w:rsidRPr="00A8041F">
        <w:rPr>
          <w:lang w:val="fr-FR"/>
        </w:rPr>
        <w:t>Ce suivi est rendu possible par l’implémentation d’un système VIM (Vendor Invoice Management) que la plupart des SPF et SPP utilisent déjà et dont l’utilisation sera encore étendue.</w:t>
      </w:r>
    </w:p>
    <w:p w14:paraId="0FF238CE" w14:textId="00C88498" w:rsidR="003B42A8" w:rsidRPr="00A8041F" w:rsidRDefault="003B42A8" w:rsidP="00C556B4">
      <w:pPr>
        <w:spacing w:after="0"/>
        <w:rPr>
          <w:lang w:val="fr-FR"/>
        </w:rPr>
      </w:pPr>
      <w:r w:rsidRPr="00A8041F">
        <w:rPr>
          <w:lang w:val="fr-FR"/>
        </w:rPr>
        <w:t>Grâce à ce système, nous disposons d’une série de données non manipulables. À savoir :</w:t>
      </w:r>
    </w:p>
    <w:p w14:paraId="5A79F493" w14:textId="4995CB0E" w:rsidR="003B42A8" w:rsidRPr="00A8041F" w:rsidRDefault="00C74F8D" w:rsidP="00C556B4">
      <w:pPr>
        <w:pStyle w:val="Lijstalinea"/>
        <w:numPr>
          <w:ilvl w:val="0"/>
          <w:numId w:val="16"/>
        </w:numPr>
        <w:spacing w:after="0"/>
        <w:rPr>
          <w:lang w:val="fr-FR"/>
        </w:rPr>
      </w:pPr>
      <w:r w:rsidRPr="00A8041F">
        <w:rPr>
          <w:lang w:val="fr-FR"/>
        </w:rPr>
        <w:t>La</w:t>
      </w:r>
      <w:r w:rsidR="003B42A8" w:rsidRPr="00A8041F">
        <w:rPr>
          <w:lang w:val="fr-FR"/>
        </w:rPr>
        <w:t xml:space="preserve"> date de la facture : c’est la date qui est automatiquement lue sur la facture du fournisseur ;</w:t>
      </w:r>
    </w:p>
    <w:p w14:paraId="13A89F05" w14:textId="79422B8F" w:rsidR="003B42A8" w:rsidRPr="00A8041F" w:rsidRDefault="00C74F8D" w:rsidP="003B42A8">
      <w:pPr>
        <w:pStyle w:val="Lijstalinea"/>
        <w:numPr>
          <w:ilvl w:val="0"/>
          <w:numId w:val="16"/>
        </w:numPr>
        <w:rPr>
          <w:lang w:val="fr-FR"/>
        </w:rPr>
      </w:pPr>
      <w:r w:rsidRPr="00A8041F">
        <w:rPr>
          <w:lang w:val="fr-FR"/>
        </w:rPr>
        <w:t>La</w:t>
      </w:r>
      <w:r w:rsidR="003B42A8" w:rsidRPr="00A8041F">
        <w:rPr>
          <w:lang w:val="fr-FR"/>
        </w:rPr>
        <w:t xml:space="preserve"> date de scan :</w:t>
      </w:r>
      <w:r w:rsidR="000F5CC5">
        <w:rPr>
          <w:lang w:val="fr-FR"/>
        </w:rPr>
        <w:t xml:space="preserve"> </w:t>
      </w:r>
      <w:r w:rsidR="003B42A8" w:rsidRPr="00A8041F">
        <w:rPr>
          <w:lang w:val="fr-FR"/>
        </w:rPr>
        <w:t>la date à laquelle la facture est lue dans le système VIM ;</w:t>
      </w:r>
    </w:p>
    <w:p w14:paraId="46E940B5" w14:textId="384A8F84" w:rsidR="003B42A8" w:rsidRPr="00A8041F" w:rsidRDefault="00C74F8D" w:rsidP="003B42A8">
      <w:pPr>
        <w:pStyle w:val="Lijstalinea"/>
        <w:numPr>
          <w:ilvl w:val="0"/>
          <w:numId w:val="16"/>
        </w:numPr>
        <w:rPr>
          <w:lang w:val="fr-FR"/>
        </w:rPr>
      </w:pPr>
      <w:r w:rsidRPr="00A8041F">
        <w:rPr>
          <w:lang w:val="fr-FR"/>
        </w:rPr>
        <w:t>La</w:t>
      </w:r>
      <w:r w:rsidR="003B42A8" w:rsidRPr="00A8041F">
        <w:rPr>
          <w:lang w:val="fr-FR"/>
        </w:rPr>
        <w:t xml:space="preserve"> date de saisie : la date à laquelle la facture approuvée est effectivement enregistrée et libérée pour paiement ;</w:t>
      </w:r>
    </w:p>
    <w:p w14:paraId="7D643AF0" w14:textId="3D5F3D8A" w:rsidR="003B42A8" w:rsidRPr="00A8041F" w:rsidRDefault="00C74F8D" w:rsidP="003B42A8">
      <w:pPr>
        <w:pStyle w:val="Lijstalinea"/>
        <w:numPr>
          <w:ilvl w:val="0"/>
          <w:numId w:val="16"/>
        </w:numPr>
        <w:rPr>
          <w:lang w:val="fr-FR"/>
        </w:rPr>
      </w:pPr>
      <w:r w:rsidRPr="00A8041F">
        <w:rPr>
          <w:lang w:val="fr-FR"/>
        </w:rPr>
        <w:t>Le</w:t>
      </w:r>
      <w:r w:rsidR="003B42A8" w:rsidRPr="00A8041F">
        <w:rPr>
          <w:lang w:val="fr-FR"/>
        </w:rPr>
        <w:t xml:space="preserve"> paiement.</w:t>
      </w:r>
    </w:p>
    <w:p w14:paraId="5B1EC24C" w14:textId="169F248E" w:rsidR="00C556B4" w:rsidRPr="00A8041F" w:rsidRDefault="00280B85" w:rsidP="003B42A8">
      <w:pPr>
        <w:rPr>
          <w:lang w:val="fr-FR"/>
        </w:rPr>
      </w:pPr>
      <w:r w:rsidRPr="00A8041F">
        <w:rPr>
          <w:lang w:val="fr-FR"/>
        </w:rPr>
        <w:t xml:space="preserve">Ce système scanne les notes de créance et lit automatiquement la date de la facture qui est indiquée sur le document. La note de créance peut être une facture papier, une facture par e-mail ou une e-facture. </w:t>
      </w:r>
    </w:p>
    <w:p w14:paraId="6FF95909" w14:textId="182B95CE" w:rsidR="003B42A8" w:rsidRPr="00A8041F" w:rsidRDefault="003B42A8" w:rsidP="003B42A8">
      <w:pPr>
        <w:rPr>
          <w:lang w:val="fr-FR"/>
        </w:rPr>
      </w:pPr>
      <w:r w:rsidRPr="00A8041F">
        <w:rPr>
          <w:lang w:val="fr-FR"/>
        </w:rPr>
        <w:t>Ces statistiques reprennent uniquement les factures et notes de créance des entreprises</w:t>
      </w:r>
      <w:r w:rsidR="00006B0D" w:rsidRPr="00A8041F">
        <w:rPr>
          <w:rStyle w:val="Voetnootmarkering"/>
          <w:lang w:val="fr-FR"/>
        </w:rPr>
        <w:footnoteReference w:id="1"/>
      </w:r>
      <w:r w:rsidRPr="00A8041F">
        <w:rPr>
          <w:lang w:val="fr-FR"/>
        </w:rPr>
        <w:t xml:space="preserve"> et ne font pas la distinction entre les factures contestées et les factures non contestées.</w:t>
      </w:r>
    </w:p>
    <w:bookmarkEnd w:id="0"/>
    <w:p w14:paraId="0A7A5CA0" w14:textId="6C601F77" w:rsidR="00B6401A" w:rsidRPr="00A8041F" w:rsidRDefault="00B6401A" w:rsidP="00F371A2">
      <w:pPr>
        <w:pStyle w:val="Kop3"/>
        <w:rPr>
          <w:lang w:val="fr-FR"/>
        </w:rPr>
      </w:pPr>
      <w:r w:rsidRPr="00A8041F">
        <w:rPr>
          <w:lang w:val="fr-FR"/>
        </w:rPr>
        <w:lastRenderedPageBreak/>
        <w:t>SPF et SPP utilisant le système VIM (Vendor Invoice Management)</w:t>
      </w:r>
    </w:p>
    <w:p w14:paraId="0F015267" w14:textId="1C105240" w:rsidR="00950FD5" w:rsidRPr="00A8041F" w:rsidRDefault="00950FD5" w:rsidP="00950FD5">
      <w:pPr>
        <w:pStyle w:val="Kop4"/>
        <w:rPr>
          <w:lang w:val="fr-FR"/>
        </w:rPr>
      </w:pPr>
      <w:r w:rsidRPr="00A8041F">
        <w:rPr>
          <w:lang w:val="fr-FR"/>
        </w:rPr>
        <w:t>Tableau</w:t>
      </w:r>
      <w:r w:rsidR="00B14DAA">
        <w:rPr>
          <w:lang w:val="fr-FR"/>
        </w:rPr>
        <w:t xml:space="preserve"> 1</w:t>
      </w:r>
      <w:r w:rsidRPr="00A8041F">
        <w:rPr>
          <w:lang w:val="fr-FR"/>
        </w:rPr>
        <w:t xml:space="preserve"> : </w:t>
      </w:r>
      <w:r w:rsidR="00036A8B">
        <w:rPr>
          <w:lang w:val="fr-FR"/>
        </w:rPr>
        <w:t>N</w:t>
      </w:r>
      <w:r w:rsidRPr="00A8041F">
        <w:rPr>
          <w:lang w:val="fr-FR"/>
        </w:rPr>
        <w:t>ombre moyen de jours pour le paiement après l</w:t>
      </w:r>
      <w:r w:rsidR="007F4614">
        <w:rPr>
          <w:lang w:val="fr-FR"/>
        </w:rPr>
        <w:t>a</w:t>
      </w:r>
      <w:r w:rsidRPr="00A8041F">
        <w:rPr>
          <w:lang w:val="fr-FR"/>
        </w:rPr>
        <w:t xml:space="preserve"> date de la facture - après la date de scan - après la date de saisie</w:t>
      </w:r>
      <w:r w:rsidR="00357AAA">
        <w:rPr>
          <w:rStyle w:val="Voetnootmarkering"/>
          <w:lang w:val="fr-FR"/>
        </w:rPr>
        <w:footnoteReference w:id="2"/>
      </w:r>
      <w:r w:rsidR="00702698">
        <w:rPr>
          <w:rStyle w:val="Voetnootmarkering"/>
          <w:lang w:val="fr-FR"/>
        </w:rPr>
        <w:footnoteReference w:id="3"/>
      </w:r>
    </w:p>
    <w:p w14:paraId="651E308E" w14:textId="39F45E56" w:rsidR="000B6DDE" w:rsidRPr="00A8041F" w:rsidRDefault="00950FD5" w:rsidP="00597D8F">
      <w:pPr>
        <w:rPr>
          <w:lang w:val="fr-FR"/>
        </w:rPr>
      </w:pPr>
      <w:r w:rsidRPr="00A8041F">
        <w:rPr>
          <w:lang w:val="fr-FR"/>
        </w:rPr>
        <w:t>Période : 01/01/202</w:t>
      </w:r>
      <w:r w:rsidR="00346255">
        <w:rPr>
          <w:lang w:val="fr-FR"/>
        </w:rPr>
        <w:t>2</w:t>
      </w:r>
      <w:r w:rsidRPr="00A8041F">
        <w:rPr>
          <w:lang w:val="fr-FR"/>
        </w:rPr>
        <w:t xml:space="preserve"> et 3</w:t>
      </w:r>
      <w:r w:rsidR="00062A08">
        <w:rPr>
          <w:lang w:val="fr-FR"/>
        </w:rPr>
        <w:t>0</w:t>
      </w:r>
      <w:r w:rsidRPr="00A8041F">
        <w:rPr>
          <w:lang w:val="fr-FR"/>
        </w:rPr>
        <w:t>/</w:t>
      </w:r>
      <w:r w:rsidR="00346255">
        <w:rPr>
          <w:lang w:val="fr-FR"/>
        </w:rPr>
        <w:t>0</w:t>
      </w:r>
      <w:r w:rsidR="00062A08">
        <w:rPr>
          <w:lang w:val="fr-FR"/>
        </w:rPr>
        <w:t>6</w:t>
      </w:r>
      <w:r w:rsidRPr="00A8041F">
        <w:rPr>
          <w:lang w:val="fr-FR"/>
        </w:rPr>
        <w:t>/202</w:t>
      </w:r>
      <w:r w:rsidR="00346255">
        <w:rPr>
          <w:lang w:val="fr-FR"/>
        </w:rPr>
        <w:t>2</w:t>
      </w:r>
    </w:p>
    <w:tbl>
      <w:tblPr>
        <w:tblStyle w:val="BasicTable"/>
        <w:tblW w:w="0" w:type="auto"/>
        <w:tblLayout w:type="fixed"/>
        <w:tblLook w:val="04A0" w:firstRow="1" w:lastRow="0" w:firstColumn="1" w:lastColumn="0" w:noHBand="0" w:noVBand="1"/>
      </w:tblPr>
      <w:tblGrid>
        <w:gridCol w:w="2684"/>
        <w:gridCol w:w="1417"/>
        <w:gridCol w:w="1839"/>
        <w:gridCol w:w="1839"/>
        <w:gridCol w:w="1839"/>
      </w:tblGrid>
      <w:tr w:rsidR="00421D7A" w:rsidRPr="00C74F8D" w14:paraId="5190D579" w14:textId="77777777" w:rsidTr="00357A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tcPr>
          <w:p w14:paraId="1AE145DC" w14:textId="77777777" w:rsidR="00421D7A" w:rsidRPr="00A8041F" w:rsidRDefault="00421D7A" w:rsidP="00357AAA">
            <w:pPr>
              <w:pStyle w:val="Geenafstand"/>
              <w:rPr>
                <w:rStyle w:val="Zwaar"/>
                <w:b/>
                <w:bCs w:val="0"/>
                <w:lang w:val="fr-FR"/>
              </w:rPr>
            </w:pPr>
          </w:p>
        </w:tc>
        <w:tc>
          <w:tcPr>
            <w:tcW w:w="1417" w:type="dxa"/>
            <w:vAlign w:val="top"/>
          </w:tcPr>
          <w:p w14:paraId="4F41CEE7" w14:textId="77777777" w:rsidR="00421D7A" w:rsidRPr="00A8041F" w:rsidRDefault="00421D7A" w:rsidP="00357AAA">
            <w:pPr>
              <w:pStyle w:val="Geenafstand"/>
              <w:jc w:val="right"/>
              <w:cnfStyle w:val="100000000000" w:firstRow="1" w:lastRow="0" w:firstColumn="0" w:lastColumn="0" w:oddVBand="0" w:evenVBand="0" w:oddHBand="0" w:evenHBand="0" w:firstRowFirstColumn="0" w:firstRowLastColumn="0" w:lastRowFirstColumn="0" w:lastRowLastColumn="0"/>
              <w:rPr>
                <w:rStyle w:val="Zwaar"/>
                <w:b/>
                <w:bCs w:val="0"/>
                <w:lang w:val="fr-FR"/>
              </w:rPr>
            </w:pPr>
            <w:r w:rsidRPr="00A8041F">
              <w:rPr>
                <w:lang w:val="fr-FR"/>
              </w:rPr>
              <w:t>Nombre de factures</w:t>
            </w:r>
          </w:p>
        </w:tc>
        <w:tc>
          <w:tcPr>
            <w:tcW w:w="1839" w:type="dxa"/>
            <w:vAlign w:val="top"/>
          </w:tcPr>
          <w:p w14:paraId="2AAB66C9" w14:textId="77777777" w:rsidR="00421D7A" w:rsidRPr="00A8041F" w:rsidRDefault="00421D7A" w:rsidP="00357AAA">
            <w:pPr>
              <w:pStyle w:val="Geenafstand"/>
              <w:jc w:val="center"/>
              <w:cnfStyle w:val="100000000000" w:firstRow="1" w:lastRow="0" w:firstColumn="0" w:lastColumn="0" w:oddVBand="0" w:evenVBand="0" w:oddHBand="0" w:evenHBand="0" w:firstRowFirstColumn="0" w:firstRowLastColumn="0" w:lastRowFirstColumn="0" w:lastRowLastColumn="0"/>
              <w:rPr>
                <w:rStyle w:val="Zwaar"/>
                <w:b/>
                <w:bCs w:val="0"/>
                <w:lang w:val="fr-FR"/>
              </w:rPr>
            </w:pPr>
            <w:r w:rsidRPr="00A8041F">
              <w:rPr>
                <w:lang w:val="fr-FR"/>
              </w:rPr>
              <w:t>Par rapport à la date de la facture</w:t>
            </w:r>
          </w:p>
        </w:tc>
        <w:tc>
          <w:tcPr>
            <w:tcW w:w="1839" w:type="dxa"/>
            <w:vAlign w:val="top"/>
          </w:tcPr>
          <w:p w14:paraId="7C58FBAC" w14:textId="1A995649" w:rsidR="00421D7A" w:rsidRPr="00A8041F" w:rsidRDefault="00421D7A" w:rsidP="00357AAA">
            <w:pPr>
              <w:pStyle w:val="Geenafstand"/>
              <w:jc w:val="center"/>
              <w:cnfStyle w:val="100000000000" w:firstRow="1" w:lastRow="0" w:firstColumn="0" w:lastColumn="0" w:oddVBand="0" w:evenVBand="0" w:oddHBand="0" w:evenHBand="0" w:firstRowFirstColumn="0" w:firstRowLastColumn="0" w:lastRowFirstColumn="0" w:lastRowLastColumn="0"/>
              <w:rPr>
                <w:rStyle w:val="Zwaar"/>
                <w:b/>
                <w:bCs w:val="0"/>
                <w:lang w:val="fr-FR"/>
              </w:rPr>
            </w:pPr>
            <w:r w:rsidRPr="00A8041F">
              <w:rPr>
                <w:lang w:val="fr-FR"/>
              </w:rPr>
              <w:t>Par rapport à</w:t>
            </w:r>
            <w:r w:rsidR="009B00C2">
              <w:rPr>
                <w:lang w:val="fr-FR"/>
              </w:rPr>
              <w:t xml:space="preserve"> </w:t>
            </w:r>
            <w:r w:rsidRPr="00A8041F">
              <w:rPr>
                <w:lang w:val="fr-FR"/>
              </w:rPr>
              <w:t>la date de scan</w:t>
            </w:r>
          </w:p>
        </w:tc>
        <w:tc>
          <w:tcPr>
            <w:tcW w:w="1839" w:type="dxa"/>
            <w:vAlign w:val="top"/>
          </w:tcPr>
          <w:p w14:paraId="7CBBF41C" w14:textId="77777777" w:rsidR="00421D7A" w:rsidRPr="00A8041F" w:rsidRDefault="00421D7A" w:rsidP="00357AAA">
            <w:pPr>
              <w:pStyle w:val="Geenafstand"/>
              <w:jc w:val="center"/>
              <w:cnfStyle w:val="100000000000" w:firstRow="1" w:lastRow="0" w:firstColumn="0" w:lastColumn="0" w:oddVBand="0" w:evenVBand="0" w:oddHBand="0" w:evenHBand="0" w:firstRowFirstColumn="0" w:firstRowLastColumn="0" w:lastRowFirstColumn="0" w:lastRowLastColumn="0"/>
              <w:rPr>
                <w:rStyle w:val="Zwaar"/>
                <w:b/>
                <w:bCs w:val="0"/>
                <w:lang w:val="fr-FR"/>
              </w:rPr>
            </w:pPr>
            <w:r w:rsidRPr="00A8041F">
              <w:rPr>
                <w:lang w:val="fr-FR"/>
              </w:rPr>
              <w:t>Par rapport à la date de saisie</w:t>
            </w:r>
          </w:p>
        </w:tc>
      </w:tr>
      <w:tr w:rsidR="001876D9" w:rsidRPr="00A8041F" w14:paraId="22B9A291" w14:textId="77777777" w:rsidTr="00902DBF">
        <w:tc>
          <w:tcPr>
            <w:cnfStyle w:val="001000000000" w:firstRow="0" w:lastRow="0" w:firstColumn="1" w:lastColumn="0" w:oddVBand="0" w:evenVBand="0" w:oddHBand="0" w:evenHBand="0" w:firstRowFirstColumn="0" w:firstRowLastColumn="0" w:lastRowFirstColumn="0" w:lastRowLastColumn="0"/>
            <w:tcW w:w="2684" w:type="dxa"/>
            <w:vAlign w:val="top"/>
          </w:tcPr>
          <w:p w14:paraId="3C5A742D" w14:textId="77777777" w:rsidR="001876D9" w:rsidRPr="00A8041F" w:rsidRDefault="001876D9" w:rsidP="001876D9">
            <w:pPr>
              <w:pStyle w:val="Geenafstand"/>
              <w:rPr>
                <w:rStyle w:val="Zwaar"/>
                <w:b/>
                <w:bCs w:val="0"/>
                <w:lang w:val="fr-FR"/>
              </w:rPr>
            </w:pPr>
            <w:r w:rsidRPr="00A8041F">
              <w:rPr>
                <w:lang w:val="fr-FR"/>
              </w:rPr>
              <w:t>BELSPO</w:t>
            </w:r>
          </w:p>
        </w:tc>
        <w:tc>
          <w:tcPr>
            <w:tcW w:w="1417" w:type="dxa"/>
            <w:vAlign w:val="bottom"/>
          </w:tcPr>
          <w:p w14:paraId="7527A76E" w14:textId="787A2728" w:rsidR="001876D9" w:rsidRPr="00A8041F" w:rsidRDefault="001876D9" w:rsidP="001876D9">
            <w:pPr>
              <w:pStyle w:val="Geenafstand"/>
              <w:jc w:val="right"/>
              <w:cnfStyle w:val="000000000000" w:firstRow="0" w:lastRow="0" w:firstColumn="0" w:lastColumn="0" w:oddVBand="0" w:evenVBand="0" w:oddHBand="0" w:evenHBand="0" w:firstRowFirstColumn="0" w:firstRowLastColumn="0" w:lastRowFirstColumn="0" w:lastRowLastColumn="0"/>
              <w:rPr>
                <w:lang w:val="fr-FR"/>
              </w:rPr>
            </w:pPr>
            <w:r w:rsidRPr="00A06A1A">
              <w:t>826</w:t>
            </w:r>
          </w:p>
        </w:tc>
        <w:tc>
          <w:tcPr>
            <w:tcW w:w="1839" w:type="dxa"/>
            <w:vAlign w:val="bottom"/>
          </w:tcPr>
          <w:p w14:paraId="0D4F12F0" w14:textId="238516E4" w:rsidR="001876D9" w:rsidRPr="00A8041F" w:rsidRDefault="001876D9" w:rsidP="001876D9">
            <w:pPr>
              <w:pStyle w:val="Geenafstand"/>
              <w:jc w:val="center"/>
              <w:cnfStyle w:val="000000000000" w:firstRow="0" w:lastRow="0" w:firstColumn="0" w:lastColumn="0" w:oddVBand="0" w:evenVBand="0" w:oddHBand="0" w:evenHBand="0" w:firstRowFirstColumn="0" w:firstRowLastColumn="0" w:lastRowFirstColumn="0" w:lastRowLastColumn="0"/>
              <w:rPr>
                <w:lang w:val="fr-FR"/>
              </w:rPr>
            </w:pPr>
            <w:r w:rsidRPr="00A06A1A">
              <w:t>19</w:t>
            </w:r>
          </w:p>
        </w:tc>
        <w:tc>
          <w:tcPr>
            <w:tcW w:w="1839" w:type="dxa"/>
            <w:vAlign w:val="bottom"/>
          </w:tcPr>
          <w:p w14:paraId="2D962AED" w14:textId="7F39D4B8" w:rsidR="001876D9" w:rsidRPr="00A8041F" w:rsidRDefault="001876D9" w:rsidP="001876D9">
            <w:pPr>
              <w:pStyle w:val="Geenafstand"/>
              <w:jc w:val="center"/>
              <w:cnfStyle w:val="000000000000" w:firstRow="0" w:lastRow="0" w:firstColumn="0" w:lastColumn="0" w:oddVBand="0" w:evenVBand="0" w:oddHBand="0" w:evenHBand="0" w:firstRowFirstColumn="0" w:firstRowLastColumn="0" w:lastRowFirstColumn="0" w:lastRowLastColumn="0"/>
              <w:rPr>
                <w:lang w:val="fr-FR"/>
              </w:rPr>
            </w:pPr>
            <w:r w:rsidRPr="00A06A1A">
              <w:t>8</w:t>
            </w:r>
          </w:p>
        </w:tc>
        <w:tc>
          <w:tcPr>
            <w:tcW w:w="1839" w:type="dxa"/>
            <w:vAlign w:val="bottom"/>
          </w:tcPr>
          <w:p w14:paraId="74F9803D" w14:textId="42D0FEEE" w:rsidR="001876D9" w:rsidRPr="00A8041F" w:rsidRDefault="001876D9" w:rsidP="001876D9">
            <w:pPr>
              <w:pStyle w:val="Geenafstand"/>
              <w:jc w:val="center"/>
              <w:cnfStyle w:val="000000000000" w:firstRow="0" w:lastRow="0" w:firstColumn="0" w:lastColumn="0" w:oddVBand="0" w:evenVBand="0" w:oddHBand="0" w:evenHBand="0" w:firstRowFirstColumn="0" w:firstRowLastColumn="0" w:lastRowFirstColumn="0" w:lastRowLastColumn="0"/>
              <w:rPr>
                <w:lang w:val="fr-FR"/>
              </w:rPr>
            </w:pPr>
            <w:r w:rsidRPr="00A06A1A">
              <w:t>3</w:t>
            </w:r>
          </w:p>
        </w:tc>
      </w:tr>
      <w:tr w:rsidR="001876D9" w:rsidRPr="00A8041F" w14:paraId="2444E488" w14:textId="77777777" w:rsidTr="00902DBF">
        <w:tc>
          <w:tcPr>
            <w:cnfStyle w:val="001000000000" w:firstRow="0" w:lastRow="0" w:firstColumn="1" w:lastColumn="0" w:oddVBand="0" w:evenVBand="0" w:oddHBand="0" w:evenHBand="0" w:firstRowFirstColumn="0" w:firstRowLastColumn="0" w:lastRowFirstColumn="0" w:lastRowLastColumn="0"/>
            <w:tcW w:w="2684" w:type="dxa"/>
            <w:vAlign w:val="top"/>
          </w:tcPr>
          <w:p w14:paraId="469E58A3" w14:textId="77777777" w:rsidR="001876D9" w:rsidRPr="00A8041F" w:rsidRDefault="001876D9" w:rsidP="001876D9">
            <w:pPr>
              <w:pStyle w:val="Geenafstand"/>
              <w:rPr>
                <w:rStyle w:val="Zwaar"/>
                <w:b/>
                <w:bCs w:val="0"/>
                <w:lang w:val="fr-FR"/>
              </w:rPr>
            </w:pPr>
            <w:r w:rsidRPr="00A8041F">
              <w:rPr>
                <w:lang w:val="fr-FR"/>
              </w:rPr>
              <w:t xml:space="preserve">Police fédérale </w:t>
            </w:r>
          </w:p>
        </w:tc>
        <w:tc>
          <w:tcPr>
            <w:tcW w:w="1417" w:type="dxa"/>
            <w:vAlign w:val="bottom"/>
          </w:tcPr>
          <w:p w14:paraId="43BB3563" w14:textId="704FFBC6" w:rsidR="001876D9" w:rsidRPr="00A8041F" w:rsidRDefault="001876D9" w:rsidP="001876D9">
            <w:pPr>
              <w:pStyle w:val="Geenafstand"/>
              <w:jc w:val="right"/>
              <w:cnfStyle w:val="000000000000" w:firstRow="0" w:lastRow="0" w:firstColumn="0" w:lastColumn="0" w:oddVBand="0" w:evenVBand="0" w:oddHBand="0" w:evenHBand="0" w:firstRowFirstColumn="0" w:firstRowLastColumn="0" w:lastRowFirstColumn="0" w:lastRowLastColumn="0"/>
              <w:rPr>
                <w:lang w:val="fr-FR"/>
              </w:rPr>
            </w:pPr>
            <w:r w:rsidRPr="00A06A1A">
              <w:t>17.637</w:t>
            </w:r>
          </w:p>
        </w:tc>
        <w:tc>
          <w:tcPr>
            <w:tcW w:w="1839" w:type="dxa"/>
            <w:vAlign w:val="bottom"/>
          </w:tcPr>
          <w:p w14:paraId="7FFBFE70" w14:textId="4F4F57DC" w:rsidR="001876D9" w:rsidRPr="00A8041F" w:rsidRDefault="001876D9" w:rsidP="001876D9">
            <w:pPr>
              <w:pStyle w:val="Geenafstand"/>
              <w:jc w:val="center"/>
              <w:cnfStyle w:val="000000000000" w:firstRow="0" w:lastRow="0" w:firstColumn="0" w:lastColumn="0" w:oddVBand="0" w:evenVBand="0" w:oddHBand="0" w:evenHBand="0" w:firstRowFirstColumn="0" w:firstRowLastColumn="0" w:lastRowFirstColumn="0" w:lastRowLastColumn="0"/>
              <w:rPr>
                <w:lang w:val="fr-FR"/>
              </w:rPr>
            </w:pPr>
            <w:r w:rsidRPr="00A06A1A">
              <w:t>39</w:t>
            </w:r>
          </w:p>
        </w:tc>
        <w:tc>
          <w:tcPr>
            <w:tcW w:w="1839" w:type="dxa"/>
            <w:vAlign w:val="bottom"/>
          </w:tcPr>
          <w:p w14:paraId="015D08FA" w14:textId="097AE518" w:rsidR="001876D9" w:rsidRPr="00A8041F" w:rsidRDefault="001876D9" w:rsidP="001876D9">
            <w:pPr>
              <w:pStyle w:val="Geenafstand"/>
              <w:jc w:val="center"/>
              <w:cnfStyle w:val="000000000000" w:firstRow="0" w:lastRow="0" w:firstColumn="0" w:lastColumn="0" w:oddVBand="0" w:evenVBand="0" w:oddHBand="0" w:evenHBand="0" w:firstRowFirstColumn="0" w:firstRowLastColumn="0" w:lastRowFirstColumn="0" w:lastRowLastColumn="0"/>
              <w:rPr>
                <w:lang w:val="fr-FR"/>
              </w:rPr>
            </w:pPr>
            <w:r w:rsidRPr="00A06A1A">
              <w:t>16</w:t>
            </w:r>
          </w:p>
        </w:tc>
        <w:tc>
          <w:tcPr>
            <w:tcW w:w="1839" w:type="dxa"/>
            <w:vAlign w:val="bottom"/>
          </w:tcPr>
          <w:p w14:paraId="692DFCB7" w14:textId="61BA25A3" w:rsidR="001876D9" w:rsidRPr="00A8041F" w:rsidRDefault="001876D9" w:rsidP="001876D9">
            <w:pPr>
              <w:pStyle w:val="Geenafstand"/>
              <w:jc w:val="center"/>
              <w:cnfStyle w:val="000000000000" w:firstRow="0" w:lastRow="0" w:firstColumn="0" w:lastColumn="0" w:oddVBand="0" w:evenVBand="0" w:oddHBand="0" w:evenHBand="0" w:firstRowFirstColumn="0" w:firstRowLastColumn="0" w:lastRowFirstColumn="0" w:lastRowLastColumn="0"/>
              <w:rPr>
                <w:lang w:val="fr-FR"/>
              </w:rPr>
            </w:pPr>
            <w:r w:rsidRPr="00A06A1A">
              <w:t>5</w:t>
            </w:r>
          </w:p>
        </w:tc>
      </w:tr>
      <w:tr w:rsidR="001876D9" w:rsidRPr="00A8041F" w14:paraId="164990E9" w14:textId="77777777" w:rsidTr="00902DBF">
        <w:tc>
          <w:tcPr>
            <w:cnfStyle w:val="001000000000" w:firstRow="0" w:lastRow="0" w:firstColumn="1" w:lastColumn="0" w:oddVBand="0" w:evenVBand="0" w:oddHBand="0" w:evenHBand="0" w:firstRowFirstColumn="0" w:firstRowLastColumn="0" w:lastRowFirstColumn="0" w:lastRowLastColumn="0"/>
            <w:tcW w:w="2684" w:type="dxa"/>
            <w:vAlign w:val="top"/>
          </w:tcPr>
          <w:p w14:paraId="01FFF181" w14:textId="77777777" w:rsidR="001876D9" w:rsidRPr="00A8041F" w:rsidRDefault="001876D9" w:rsidP="001876D9">
            <w:pPr>
              <w:pStyle w:val="Geenafstand"/>
              <w:rPr>
                <w:rStyle w:val="Zwaar"/>
                <w:bCs w:val="0"/>
                <w:lang w:val="fr-FR"/>
              </w:rPr>
            </w:pPr>
            <w:r w:rsidRPr="00A8041F">
              <w:rPr>
                <w:lang w:val="fr-FR"/>
              </w:rPr>
              <w:t>SPF Intérieur</w:t>
            </w:r>
          </w:p>
        </w:tc>
        <w:tc>
          <w:tcPr>
            <w:tcW w:w="1417" w:type="dxa"/>
            <w:vAlign w:val="bottom"/>
          </w:tcPr>
          <w:p w14:paraId="52E088E6" w14:textId="4730B981" w:rsidR="001876D9" w:rsidRPr="00A8041F" w:rsidRDefault="001876D9" w:rsidP="001876D9">
            <w:pPr>
              <w:pStyle w:val="Geenafstand"/>
              <w:jc w:val="right"/>
              <w:cnfStyle w:val="000000000000" w:firstRow="0" w:lastRow="0" w:firstColumn="0" w:lastColumn="0" w:oddVBand="0" w:evenVBand="0" w:oddHBand="0" w:evenHBand="0" w:firstRowFirstColumn="0" w:firstRowLastColumn="0" w:lastRowFirstColumn="0" w:lastRowLastColumn="0"/>
              <w:rPr>
                <w:lang w:val="fr-FR"/>
              </w:rPr>
            </w:pPr>
            <w:r w:rsidRPr="00A06A1A">
              <w:t>17.720</w:t>
            </w:r>
          </w:p>
        </w:tc>
        <w:tc>
          <w:tcPr>
            <w:tcW w:w="1839" w:type="dxa"/>
            <w:vAlign w:val="bottom"/>
          </w:tcPr>
          <w:p w14:paraId="0AF0D1C0" w14:textId="1FE7B48F" w:rsidR="001876D9" w:rsidRPr="00A8041F" w:rsidRDefault="001876D9" w:rsidP="001876D9">
            <w:pPr>
              <w:pStyle w:val="Geenafstand"/>
              <w:jc w:val="center"/>
              <w:cnfStyle w:val="000000000000" w:firstRow="0" w:lastRow="0" w:firstColumn="0" w:lastColumn="0" w:oddVBand="0" w:evenVBand="0" w:oddHBand="0" w:evenHBand="0" w:firstRowFirstColumn="0" w:firstRowLastColumn="0" w:lastRowFirstColumn="0" w:lastRowLastColumn="0"/>
              <w:rPr>
                <w:lang w:val="fr-FR"/>
              </w:rPr>
            </w:pPr>
            <w:r w:rsidRPr="00A06A1A">
              <w:t>37</w:t>
            </w:r>
          </w:p>
        </w:tc>
        <w:tc>
          <w:tcPr>
            <w:tcW w:w="1839" w:type="dxa"/>
            <w:vAlign w:val="bottom"/>
          </w:tcPr>
          <w:p w14:paraId="53AB7656" w14:textId="723C011E" w:rsidR="001876D9" w:rsidRPr="00A8041F" w:rsidRDefault="001876D9" w:rsidP="001876D9">
            <w:pPr>
              <w:pStyle w:val="Geenafstand"/>
              <w:jc w:val="center"/>
              <w:cnfStyle w:val="000000000000" w:firstRow="0" w:lastRow="0" w:firstColumn="0" w:lastColumn="0" w:oddVBand="0" w:evenVBand="0" w:oddHBand="0" w:evenHBand="0" w:firstRowFirstColumn="0" w:firstRowLastColumn="0" w:lastRowFirstColumn="0" w:lastRowLastColumn="0"/>
              <w:rPr>
                <w:lang w:val="fr-FR"/>
              </w:rPr>
            </w:pPr>
            <w:r w:rsidRPr="00A06A1A">
              <w:t>17</w:t>
            </w:r>
          </w:p>
        </w:tc>
        <w:tc>
          <w:tcPr>
            <w:tcW w:w="1839" w:type="dxa"/>
            <w:vAlign w:val="bottom"/>
          </w:tcPr>
          <w:p w14:paraId="73E794EF" w14:textId="44BE1306" w:rsidR="001876D9" w:rsidRPr="00A8041F" w:rsidRDefault="001876D9" w:rsidP="001876D9">
            <w:pPr>
              <w:pStyle w:val="Geenafstand"/>
              <w:jc w:val="center"/>
              <w:cnfStyle w:val="000000000000" w:firstRow="0" w:lastRow="0" w:firstColumn="0" w:lastColumn="0" w:oddVBand="0" w:evenVBand="0" w:oddHBand="0" w:evenHBand="0" w:firstRowFirstColumn="0" w:firstRowLastColumn="0" w:lastRowFirstColumn="0" w:lastRowLastColumn="0"/>
              <w:rPr>
                <w:lang w:val="fr-FR"/>
              </w:rPr>
            </w:pPr>
            <w:r w:rsidRPr="00A06A1A">
              <w:t>4</w:t>
            </w:r>
          </w:p>
        </w:tc>
      </w:tr>
      <w:tr w:rsidR="001876D9" w:rsidRPr="00A8041F" w14:paraId="3145FD6F" w14:textId="77777777" w:rsidTr="00902DBF">
        <w:tc>
          <w:tcPr>
            <w:cnfStyle w:val="001000000000" w:firstRow="0" w:lastRow="0" w:firstColumn="1" w:lastColumn="0" w:oddVBand="0" w:evenVBand="0" w:oddHBand="0" w:evenHBand="0" w:firstRowFirstColumn="0" w:firstRowLastColumn="0" w:lastRowFirstColumn="0" w:lastRowLastColumn="0"/>
            <w:tcW w:w="2684" w:type="dxa"/>
            <w:vAlign w:val="top"/>
          </w:tcPr>
          <w:p w14:paraId="1F48E654" w14:textId="77777777" w:rsidR="001876D9" w:rsidRPr="00A8041F" w:rsidRDefault="001876D9" w:rsidP="001876D9">
            <w:pPr>
              <w:pStyle w:val="Geenafstand"/>
              <w:rPr>
                <w:rStyle w:val="Zwaar"/>
                <w:bCs w:val="0"/>
                <w:lang w:val="fr-FR"/>
              </w:rPr>
            </w:pPr>
            <w:r w:rsidRPr="00A8041F">
              <w:rPr>
                <w:lang w:val="fr-FR"/>
              </w:rPr>
              <w:t>SPF BOSA</w:t>
            </w:r>
          </w:p>
        </w:tc>
        <w:tc>
          <w:tcPr>
            <w:tcW w:w="1417" w:type="dxa"/>
            <w:vAlign w:val="bottom"/>
          </w:tcPr>
          <w:p w14:paraId="4AB8FA62" w14:textId="74F8662B" w:rsidR="001876D9" w:rsidRPr="00A8041F" w:rsidRDefault="001876D9" w:rsidP="001876D9">
            <w:pPr>
              <w:pStyle w:val="Geenafstand"/>
              <w:jc w:val="right"/>
              <w:cnfStyle w:val="000000000000" w:firstRow="0" w:lastRow="0" w:firstColumn="0" w:lastColumn="0" w:oddVBand="0" w:evenVBand="0" w:oddHBand="0" w:evenHBand="0" w:firstRowFirstColumn="0" w:firstRowLastColumn="0" w:lastRowFirstColumn="0" w:lastRowLastColumn="0"/>
              <w:rPr>
                <w:lang w:val="fr-FR"/>
              </w:rPr>
            </w:pPr>
            <w:r w:rsidRPr="00A06A1A">
              <w:t>2.373</w:t>
            </w:r>
          </w:p>
        </w:tc>
        <w:tc>
          <w:tcPr>
            <w:tcW w:w="1839" w:type="dxa"/>
            <w:vAlign w:val="bottom"/>
          </w:tcPr>
          <w:p w14:paraId="356A6196" w14:textId="268CA818" w:rsidR="001876D9" w:rsidRPr="00A8041F" w:rsidRDefault="001876D9" w:rsidP="001876D9">
            <w:pPr>
              <w:pStyle w:val="Geenafstand"/>
              <w:jc w:val="center"/>
              <w:cnfStyle w:val="000000000000" w:firstRow="0" w:lastRow="0" w:firstColumn="0" w:lastColumn="0" w:oddVBand="0" w:evenVBand="0" w:oddHBand="0" w:evenHBand="0" w:firstRowFirstColumn="0" w:firstRowLastColumn="0" w:lastRowFirstColumn="0" w:lastRowLastColumn="0"/>
              <w:rPr>
                <w:lang w:val="fr-FR"/>
              </w:rPr>
            </w:pPr>
            <w:r w:rsidRPr="00A06A1A">
              <w:t>35</w:t>
            </w:r>
          </w:p>
        </w:tc>
        <w:tc>
          <w:tcPr>
            <w:tcW w:w="1839" w:type="dxa"/>
            <w:vAlign w:val="bottom"/>
          </w:tcPr>
          <w:p w14:paraId="4D2E851E" w14:textId="51D0BC0A" w:rsidR="001876D9" w:rsidRPr="00A8041F" w:rsidRDefault="001876D9" w:rsidP="001876D9">
            <w:pPr>
              <w:pStyle w:val="Geenafstand"/>
              <w:jc w:val="center"/>
              <w:cnfStyle w:val="000000000000" w:firstRow="0" w:lastRow="0" w:firstColumn="0" w:lastColumn="0" w:oddVBand="0" w:evenVBand="0" w:oddHBand="0" w:evenHBand="0" w:firstRowFirstColumn="0" w:firstRowLastColumn="0" w:lastRowFirstColumn="0" w:lastRowLastColumn="0"/>
              <w:rPr>
                <w:lang w:val="fr-FR"/>
              </w:rPr>
            </w:pPr>
            <w:r w:rsidRPr="00A06A1A">
              <w:t>9</w:t>
            </w:r>
          </w:p>
        </w:tc>
        <w:tc>
          <w:tcPr>
            <w:tcW w:w="1839" w:type="dxa"/>
            <w:vAlign w:val="bottom"/>
          </w:tcPr>
          <w:p w14:paraId="0CB5B0A2" w14:textId="2D8855A1" w:rsidR="001876D9" w:rsidRPr="00A8041F" w:rsidRDefault="001876D9" w:rsidP="001876D9">
            <w:pPr>
              <w:pStyle w:val="Geenafstand"/>
              <w:jc w:val="center"/>
              <w:cnfStyle w:val="000000000000" w:firstRow="0" w:lastRow="0" w:firstColumn="0" w:lastColumn="0" w:oddVBand="0" w:evenVBand="0" w:oddHBand="0" w:evenHBand="0" w:firstRowFirstColumn="0" w:firstRowLastColumn="0" w:lastRowFirstColumn="0" w:lastRowLastColumn="0"/>
              <w:rPr>
                <w:lang w:val="fr-FR"/>
              </w:rPr>
            </w:pPr>
            <w:r w:rsidRPr="00A06A1A">
              <w:t>4</w:t>
            </w:r>
          </w:p>
        </w:tc>
      </w:tr>
      <w:tr w:rsidR="001876D9" w:rsidRPr="00A8041F" w14:paraId="7FA0FBB9" w14:textId="77777777" w:rsidTr="00902DBF">
        <w:tc>
          <w:tcPr>
            <w:cnfStyle w:val="001000000000" w:firstRow="0" w:lastRow="0" w:firstColumn="1" w:lastColumn="0" w:oddVBand="0" w:evenVBand="0" w:oddHBand="0" w:evenHBand="0" w:firstRowFirstColumn="0" w:firstRowLastColumn="0" w:lastRowFirstColumn="0" w:lastRowLastColumn="0"/>
            <w:tcW w:w="2684" w:type="dxa"/>
            <w:vAlign w:val="top"/>
          </w:tcPr>
          <w:p w14:paraId="65186935" w14:textId="77777777" w:rsidR="001876D9" w:rsidRPr="00A8041F" w:rsidRDefault="001876D9" w:rsidP="001876D9">
            <w:pPr>
              <w:pStyle w:val="Geenafstand"/>
              <w:rPr>
                <w:rStyle w:val="Zwaar"/>
                <w:bCs w:val="0"/>
                <w:lang w:val="fr-FR"/>
              </w:rPr>
            </w:pPr>
            <w:r w:rsidRPr="00A8041F">
              <w:rPr>
                <w:lang w:val="fr-FR"/>
              </w:rPr>
              <w:t>SPF Affaires étrangères</w:t>
            </w:r>
          </w:p>
        </w:tc>
        <w:tc>
          <w:tcPr>
            <w:tcW w:w="1417" w:type="dxa"/>
            <w:vAlign w:val="bottom"/>
          </w:tcPr>
          <w:p w14:paraId="748906F1" w14:textId="43B8567C" w:rsidR="001876D9" w:rsidRPr="00A8041F" w:rsidRDefault="001876D9" w:rsidP="001876D9">
            <w:pPr>
              <w:pStyle w:val="Geenafstand"/>
              <w:jc w:val="right"/>
              <w:cnfStyle w:val="000000000000" w:firstRow="0" w:lastRow="0" w:firstColumn="0" w:lastColumn="0" w:oddVBand="0" w:evenVBand="0" w:oddHBand="0" w:evenHBand="0" w:firstRowFirstColumn="0" w:firstRowLastColumn="0" w:lastRowFirstColumn="0" w:lastRowLastColumn="0"/>
              <w:rPr>
                <w:lang w:val="fr-FR"/>
              </w:rPr>
            </w:pPr>
            <w:r w:rsidRPr="00A06A1A">
              <w:t>2.543</w:t>
            </w:r>
          </w:p>
        </w:tc>
        <w:tc>
          <w:tcPr>
            <w:tcW w:w="1839" w:type="dxa"/>
            <w:vAlign w:val="bottom"/>
          </w:tcPr>
          <w:p w14:paraId="47DC52F2" w14:textId="0D10532D" w:rsidR="001876D9" w:rsidRPr="00A8041F" w:rsidRDefault="001876D9" w:rsidP="001876D9">
            <w:pPr>
              <w:pStyle w:val="Geenafstand"/>
              <w:jc w:val="center"/>
              <w:cnfStyle w:val="000000000000" w:firstRow="0" w:lastRow="0" w:firstColumn="0" w:lastColumn="0" w:oddVBand="0" w:evenVBand="0" w:oddHBand="0" w:evenHBand="0" w:firstRowFirstColumn="0" w:firstRowLastColumn="0" w:lastRowFirstColumn="0" w:lastRowLastColumn="0"/>
              <w:rPr>
                <w:lang w:val="fr-FR"/>
              </w:rPr>
            </w:pPr>
            <w:r w:rsidRPr="00A06A1A">
              <w:t>26</w:t>
            </w:r>
          </w:p>
        </w:tc>
        <w:tc>
          <w:tcPr>
            <w:tcW w:w="1839" w:type="dxa"/>
            <w:vAlign w:val="bottom"/>
          </w:tcPr>
          <w:p w14:paraId="6A66F071" w14:textId="0F3A726A" w:rsidR="001876D9" w:rsidRPr="00A8041F" w:rsidRDefault="001876D9" w:rsidP="001876D9">
            <w:pPr>
              <w:pStyle w:val="Geenafstand"/>
              <w:jc w:val="center"/>
              <w:cnfStyle w:val="000000000000" w:firstRow="0" w:lastRow="0" w:firstColumn="0" w:lastColumn="0" w:oddVBand="0" w:evenVBand="0" w:oddHBand="0" w:evenHBand="0" w:firstRowFirstColumn="0" w:firstRowLastColumn="0" w:lastRowFirstColumn="0" w:lastRowLastColumn="0"/>
              <w:rPr>
                <w:lang w:val="fr-FR"/>
              </w:rPr>
            </w:pPr>
            <w:r w:rsidRPr="00A06A1A">
              <w:t>12</w:t>
            </w:r>
          </w:p>
        </w:tc>
        <w:tc>
          <w:tcPr>
            <w:tcW w:w="1839" w:type="dxa"/>
            <w:vAlign w:val="bottom"/>
          </w:tcPr>
          <w:p w14:paraId="0A2319C9" w14:textId="5DDC9FE7" w:rsidR="001876D9" w:rsidRPr="00A8041F" w:rsidRDefault="001876D9" w:rsidP="001876D9">
            <w:pPr>
              <w:pStyle w:val="Geenafstand"/>
              <w:jc w:val="center"/>
              <w:cnfStyle w:val="000000000000" w:firstRow="0" w:lastRow="0" w:firstColumn="0" w:lastColumn="0" w:oddVBand="0" w:evenVBand="0" w:oddHBand="0" w:evenHBand="0" w:firstRowFirstColumn="0" w:firstRowLastColumn="0" w:lastRowFirstColumn="0" w:lastRowLastColumn="0"/>
              <w:rPr>
                <w:lang w:val="fr-FR"/>
              </w:rPr>
            </w:pPr>
            <w:r w:rsidRPr="00A06A1A">
              <w:t>3</w:t>
            </w:r>
          </w:p>
        </w:tc>
      </w:tr>
      <w:tr w:rsidR="001876D9" w:rsidRPr="00A8041F" w14:paraId="277E7D5A" w14:textId="77777777" w:rsidTr="00902DBF">
        <w:tc>
          <w:tcPr>
            <w:cnfStyle w:val="001000000000" w:firstRow="0" w:lastRow="0" w:firstColumn="1" w:lastColumn="0" w:oddVBand="0" w:evenVBand="0" w:oddHBand="0" w:evenHBand="0" w:firstRowFirstColumn="0" w:firstRowLastColumn="0" w:lastRowFirstColumn="0" w:lastRowLastColumn="0"/>
            <w:tcW w:w="2684" w:type="dxa"/>
            <w:vAlign w:val="top"/>
          </w:tcPr>
          <w:p w14:paraId="5DE5E1E4" w14:textId="77777777" w:rsidR="001876D9" w:rsidRPr="00A8041F" w:rsidRDefault="001876D9" w:rsidP="001876D9">
            <w:pPr>
              <w:pStyle w:val="Geenafstand"/>
              <w:rPr>
                <w:rStyle w:val="Zwaar"/>
                <w:bCs w:val="0"/>
                <w:lang w:val="fr-FR"/>
              </w:rPr>
            </w:pPr>
            <w:r w:rsidRPr="00A8041F">
              <w:rPr>
                <w:lang w:val="fr-FR"/>
              </w:rPr>
              <w:t>SPF Économie</w:t>
            </w:r>
          </w:p>
        </w:tc>
        <w:tc>
          <w:tcPr>
            <w:tcW w:w="1417" w:type="dxa"/>
            <w:vAlign w:val="bottom"/>
          </w:tcPr>
          <w:p w14:paraId="5717C111" w14:textId="403D01A4" w:rsidR="001876D9" w:rsidRPr="00A8041F" w:rsidRDefault="001876D9" w:rsidP="001876D9">
            <w:pPr>
              <w:pStyle w:val="Geenafstand"/>
              <w:jc w:val="right"/>
              <w:cnfStyle w:val="000000000000" w:firstRow="0" w:lastRow="0" w:firstColumn="0" w:lastColumn="0" w:oddVBand="0" w:evenVBand="0" w:oddHBand="0" w:evenHBand="0" w:firstRowFirstColumn="0" w:firstRowLastColumn="0" w:lastRowFirstColumn="0" w:lastRowLastColumn="0"/>
              <w:rPr>
                <w:lang w:val="fr-FR"/>
              </w:rPr>
            </w:pPr>
            <w:r w:rsidRPr="00A06A1A">
              <w:t>6.069</w:t>
            </w:r>
          </w:p>
        </w:tc>
        <w:tc>
          <w:tcPr>
            <w:tcW w:w="1839" w:type="dxa"/>
            <w:vAlign w:val="bottom"/>
          </w:tcPr>
          <w:p w14:paraId="45568FD4" w14:textId="40AE23B6" w:rsidR="001876D9" w:rsidRPr="00A8041F" w:rsidRDefault="001876D9" w:rsidP="001876D9">
            <w:pPr>
              <w:pStyle w:val="Geenafstand"/>
              <w:jc w:val="center"/>
              <w:cnfStyle w:val="000000000000" w:firstRow="0" w:lastRow="0" w:firstColumn="0" w:lastColumn="0" w:oddVBand="0" w:evenVBand="0" w:oddHBand="0" w:evenHBand="0" w:firstRowFirstColumn="0" w:firstRowLastColumn="0" w:lastRowFirstColumn="0" w:lastRowLastColumn="0"/>
              <w:rPr>
                <w:lang w:val="fr-FR"/>
              </w:rPr>
            </w:pPr>
            <w:r w:rsidRPr="00A06A1A">
              <w:t>33</w:t>
            </w:r>
          </w:p>
        </w:tc>
        <w:tc>
          <w:tcPr>
            <w:tcW w:w="1839" w:type="dxa"/>
            <w:vAlign w:val="bottom"/>
          </w:tcPr>
          <w:p w14:paraId="24D88C03" w14:textId="650BAE5C" w:rsidR="001876D9" w:rsidRPr="00A8041F" w:rsidRDefault="001876D9" w:rsidP="001876D9">
            <w:pPr>
              <w:pStyle w:val="Geenafstand"/>
              <w:jc w:val="center"/>
              <w:cnfStyle w:val="000000000000" w:firstRow="0" w:lastRow="0" w:firstColumn="0" w:lastColumn="0" w:oddVBand="0" w:evenVBand="0" w:oddHBand="0" w:evenHBand="0" w:firstRowFirstColumn="0" w:firstRowLastColumn="0" w:lastRowFirstColumn="0" w:lastRowLastColumn="0"/>
              <w:rPr>
                <w:lang w:val="fr-FR"/>
              </w:rPr>
            </w:pPr>
            <w:r w:rsidRPr="00A06A1A">
              <w:t>15</w:t>
            </w:r>
          </w:p>
        </w:tc>
        <w:tc>
          <w:tcPr>
            <w:tcW w:w="1839" w:type="dxa"/>
            <w:vAlign w:val="bottom"/>
          </w:tcPr>
          <w:p w14:paraId="22801A52" w14:textId="342C7C3F" w:rsidR="001876D9" w:rsidRPr="00A8041F" w:rsidRDefault="001876D9" w:rsidP="001876D9">
            <w:pPr>
              <w:pStyle w:val="Geenafstand"/>
              <w:jc w:val="center"/>
              <w:cnfStyle w:val="000000000000" w:firstRow="0" w:lastRow="0" w:firstColumn="0" w:lastColumn="0" w:oddVBand="0" w:evenVBand="0" w:oddHBand="0" w:evenHBand="0" w:firstRowFirstColumn="0" w:firstRowLastColumn="0" w:lastRowFirstColumn="0" w:lastRowLastColumn="0"/>
              <w:rPr>
                <w:lang w:val="fr-FR"/>
              </w:rPr>
            </w:pPr>
            <w:r w:rsidRPr="00A06A1A">
              <w:t>3</w:t>
            </w:r>
          </w:p>
        </w:tc>
      </w:tr>
      <w:tr w:rsidR="001876D9" w:rsidRPr="00A8041F" w14:paraId="232442ED" w14:textId="77777777" w:rsidTr="00902DBF">
        <w:tc>
          <w:tcPr>
            <w:cnfStyle w:val="001000000000" w:firstRow="0" w:lastRow="0" w:firstColumn="1" w:lastColumn="0" w:oddVBand="0" w:evenVBand="0" w:oddHBand="0" w:evenHBand="0" w:firstRowFirstColumn="0" w:firstRowLastColumn="0" w:lastRowFirstColumn="0" w:lastRowLastColumn="0"/>
            <w:tcW w:w="2684" w:type="dxa"/>
            <w:vAlign w:val="top"/>
          </w:tcPr>
          <w:p w14:paraId="3A9BBD10" w14:textId="77777777" w:rsidR="001876D9" w:rsidRPr="00A8041F" w:rsidRDefault="001876D9" w:rsidP="001876D9">
            <w:pPr>
              <w:pStyle w:val="Geenafstand"/>
              <w:rPr>
                <w:rStyle w:val="Zwaar"/>
                <w:bCs w:val="0"/>
                <w:lang w:val="fr-FR"/>
              </w:rPr>
            </w:pPr>
            <w:r w:rsidRPr="00A8041F">
              <w:rPr>
                <w:lang w:val="fr-FR"/>
              </w:rPr>
              <w:t xml:space="preserve">SPF Santé </w:t>
            </w:r>
          </w:p>
        </w:tc>
        <w:tc>
          <w:tcPr>
            <w:tcW w:w="1417" w:type="dxa"/>
            <w:vAlign w:val="bottom"/>
          </w:tcPr>
          <w:p w14:paraId="03B0E0B7" w14:textId="14A2A4A4" w:rsidR="001876D9" w:rsidRPr="00A8041F" w:rsidRDefault="001876D9" w:rsidP="001876D9">
            <w:pPr>
              <w:pStyle w:val="Geenafstand"/>
              <w:jc w:val="right"/>
              <w:cnfStyle w:val="000000000000" w:firstRow="0" w:lastRow="0" w:firstColumn="0" w:lastColumn="0" w:oddVBand="0" w:evenVBand="0" w:oddHBand="0" w:evenHBand="0" w:firstRowFirstColumn="0" w:firstRowLastColumn="0" w:lastRowFirstColumn="0" w:lastRowLastColumn="0"/>
              <w:rPr>
                <w:lang w:val="fr-FR"/>
              </w:rPr>
            </w:pPr>
            <w:r w:rsidRPr="00A06A1A">
              <w:t>4.993</w:t>
            </w:r>
          </w:p>
        </w:tc>
        <w:tc>
          <w:tcPr>
            <w:tcW w:w="1839" w:type="dxa"/>
            <w:vAlign w:val="bottom"/>
          </w:tcPr>
          <w:p w14:paraId="33A96E0D" w14:textId="23F2EDDD" w:rsidR="001876D9" w:rsidRPr="00A8041F" w:rsidRDefault="001876D9" w:rsidP="001876D9">
            <w:pPr>
              <w:pStyle w:val="Geenafstand"/>
              <w:jc w:val="center"/>
              <w:cnfStyle w:val="000000000000" w:firstRow="0" w:lastRow="0" w:firstColumn="0" w:lastColumn="0" w:oddVBand="0" w:evenVBand="0" w:oddHBand="0" w:evenHBand="0" w:firstRowFirstColumn="0" w:firstRowLastColumn="0" w:lastRowFirstColumn="0" w:lastRowLastColumn="0"/>
              <w:rPr>
                <w:lang w:val="fr-FR"/>
              </w:rPr>
            </w:pPr>
            <w:r w:rsidRPr="00A06A1A">
              <w:t>49</w:t>
            </w:r>
          </w:p>
        </w:tc>
        <w:tc>
          <w:tcPr>
            <w:tcW w:w="1839" w:type="dxa"/>
            <w:vAlign w:val="bottom"/>
          </w:tcPr>
          <w:p w14:paraId="05EFAA97" w14:textId="2E254588" w:rsidR="001876D9" w:rsidRPr="00A8041F" w:rsidRDefault="001876D9" w:rsidP="001876D9">
            <w:pPr>
              <w:pStyle w:val="Geenafstand"/>
              <w:jc w:val="center"/>
              <w:cnfStyle w:val="000000000000" w:firstRow="0" w:lastRow="0" w:firstColumn="0" w:lastColumn="0" w:oddVBand="0" w:evenVBand="0" w:oddHBand="0" w:evenHBand="0" w:firstRowFirstColumn="0" w:firstRowLastColumn="0" w:lastRowFirstColumn="0" w:lastRowLastColumn="0"/>
              <w:rPr>
                <w:lang w:val="fr-FR"/>
              </w:rPr>
            </w:pPr>
            <w:r w:rsidRPr="00A06A1A">
              <w:t>30</w:t>
            </w:r>
          </w:p>
        </w:tc>
        <w:tc>
          <w:tcPr>
            <w:tcW w:w="1839" w:type="dxa"/>
            <w:vAlign w:val="bottom"/>
          </w:tcPr>
          <w:p w14:paraId="5670095E" w14:textId="1A73145C" w:rsidR="001876D9" w:rsidRPr="00A8041F" w:rsidRDefault="001876D9" w:rsidP="001876D9">
            <w:pPr>
              <w:pStyle w:val="Geenafstand"/>
              <w:jc w:val="center"/>
              <w:cnfStyle w:val="000000000000" w:firstRow="0" w:lastRow="0" w:firstColumn="0" w:lastColumn="0" w:oddVBand="0" w:evenVBand="0" w:oddHBand="0" w:evenHBand="0" w:firstRowFirstColumn="0" w:firstRowLastColumn="0" w:lastRowFirstColumn="0" w:lastRowLastColumn="0"/>
              <w:rPr>
                <w:lang w:val="fr-FR"/>
              </w:rPr>
            </w:pPr>
            <w:r w:rsidRPr="00A06A1A">
              <w:t>8</w:t>
            </w:r>
          </w:p>
        </w:tc>
      </w:tr>
      <w:tr w:rsidR="001876D9" w:rsidRPr="00A8041F" w14:paraId="15EE61AF" w14:textId="77777777" w:rsidTr="00902DBF">
        <w:tc>
          <w:tcPr>
            <w:cnfStyle w:val="001000000000" w:firstRow="0" w:lastRow="0" w:firstColumn="1" w:lastColumn="0" w:oddVBand="0" w:evenVBand="0" w:oddHBand="0" w:evenHBand="0" w:firstRowFirstColumn="0" w:firstRowLastColumn="0" w:lastRowFirstColumn="0" w:lastRowLastColumn="0"/>
            <w:tcW w:w="2684" w:type="dxa"/>
            <w:vAlign w:val="top"/>
          </w:tcPr>
          <w:p w14:paraId="41284787" w14:textId="77777777" w:rsidR="001876D9" w:rsidRPr="00A8041F" w:rsidRDefault="001876D9" w:rsidP="001876D9">
            <w:pPr>
              <w:pStyle w:val="Geenafstand"/>
              <w:rPr>
                <w:rStyle w:val="Zwaar"/>
                <w:bCs w:val="0"/>
                <w:lang w:val="fr-FR"/>
              </w:rPr>
            </w:pPr>
            <w:r w:rsidRPr="00A8041F">
              <w:rPr>
                <w:lang w:val="fr-FR"/>
              </w:rPr>
              <w:t xml:space="preserve">SPF Justice </w:t>
            </w:r>
          </w:p>
        </w:tc>
        <w:tc>
          <w:tcPr>
            <w:tcW w:w="1417" w:type="dxa"/>
            <w:vAlign w:val="bottom"/>
          </w:tcPr>
          <w:p w14:paraId="414CE02F" w14:textId="0C379C7C" w:rsidR="001876D9" w:rsidRPr="00A8041F" w:rsidRDefault="001876D9" w:rsidP="001876D9">
            <w:pPr>
              <w:pStyle w:val="Geenafstand"/>
              <w:jc w:val="right"/>
              <w:cnfStyle w:val="000000000000" w:firstRow="0" w:lastRow="0" w:firstColumn="0" w:lastColumn="0" w:oddVBand="0" w:evenVBand="0" w:oddHBand="0" w:evenHBand="0" w:firstRowFirstColumn="0" w:firstRowLastColumn="0" w:lastRowFirstColumn="0" w:lastRowLastColumn="0"/>
              <w:rPr>
                <w:lang w:val="fr-FR"/>
              </w:rPr>
            </w:pPr>
            <w:r w:rsidRPr="00A06A1A">
              <w:t>32.084</w:t>
            </w:r>
          </w:p>
        </w:tc>
        <w:tc>
          <w:tcPr>
            <w:tcW w:w="1839" w:type="dxa"/>
            <w:vAlign w:val="bottom"/>
          </w:tcPr>
          <w:p w14:paraId="3D413242" w14:textId="22FB1640" w:rsidR="001876D9" w:rsidRPr="00A8041F" w:rsidRDefault="001876D9" w:rsidP="001876D9">
            <w:pPr>
              <w:pStyle w:val="Geenafstand"/>
              <w:jc w:val="center"/>
              <w:cnfStyle w:val="000000000000" w:firstRow="0" w:lastRow="0" w:firstColumn="0" w:lastColumn="0" w:oddVBand="0" w:evenVBand="0" w:oddHBand="0" w:evenHBand="0" w:firstRowFirstColumn="0" w:firstRowLastColumn="0" w:lastRowFirstColumn="0" w:lastRowLastColumn="0"/>
              <w:rPr>
                <w:lang w:val="fr-FR"/>
              </w:rPr>
            </w:pPr>
            <w:r w:rsidRPr="00A06A1A">
              <w:t>67</w:t>
            </w:r>
          </w:p>
        </w:tc>
        <w:tc>
          <w:tcPr>
            <w:tcW w:w="1839" w:type="dxa"/>
            <w:vAlign w:val="bottom"/>
          </w:tcPr>
          <w:p w14:paraId="0931D6E3" w14:textId="06A1DF91" w:rsidR="001876D9" w:rsidRPr="00A8041F" w:rsidRDefault="001876D9" w:rsidP="001876D9">
            <w:pPr>
              <w:pStyle w:val="Geenafstand"/>
              <w:jc w:val="center"/>
              <w:cnfStyle w:val="000000000000" w:firstRow="0" w:lastRow="0" w:firstColumn="0" w:lastColumn="0" w:oddVBand="0" w:evenVBand="0" w:oddHBand="0" w:evenHBand="0" w:firstRowFirstColumn="0" w:firstRowLastColumn="0" w:lastRowFirstColumn="0" w:lastRowLastColumn="0"/>
              <w:rPr>
                <w:lang w:val="fr-FR"/>
              </w:rPr>
            </w:pPr>
            <w:r w:rsidRPr="00A06A1A">
              <w:t>30</w:t>
            </w:r>
          </w:p>
        </w:tc>
        <w:tc>
          <w:tcPr>
            <w:tcW w:w="1839" w:type="dxa"/>
            <w:vAlign w:val="bottom"/>
          </w:tcPr>
          <w:p w14:paraId="580D6BD3" w14:textId="2B16B1AB" w:rsidR="001876D9" w:rsidRPr="00A8041F" w:rsidRDefault="001876D9" w:rsidP="001876D9">
            <w:pPr>
              <w:pStyle w:val="Geenafstand"/>
              <w:jc w:val="center"/>
              <w:cnfStyle w:val="000000000000" w:firstRow="0" w:lastRow="0" w:firstColumn="0" w:lastColumn="0" w:oddVBand="0" w:evenVBand="0" w:oddHBand="0" w:evenHBand="0" w:firstRowFirstColumn="0" w:firstRowLastColumn="0" w:lastRowFirstColumn="0" w:lastRowLastColumn="0"/>
              <w:rPr>
                <w:lang w:val="fr-FR"/>
              </w:rPr>
            </w:pPr>
            <w:r w:rsidRPr="00A06A1A">
              <w:t>11</w:t>
            </w:r>
          </w:p>
        </w:tc>
      </w:tr>
      <w:tr w:rsidR="001876D9" w:rsidRPr="00A8041F" w14:paraId="39F858D6" w14:textId="77777777" w:rsidTr="00902DBF">
        <w:tc>
          <w:tcPr>
            <w:cnfStyle w:val="001000000000" w:firstRow="0" w:lastRow="0" w:firstColumn="1" w:lastColumn="0" w:oddVBand="0" w:evenVBand="0" w:oddHBand="0" w:evenHBand="0" w:firstRowFirstColumn="0" w:firstRowLastColumn="0" w:lastRowFirstColumn="0" w:lastRowLastColumn="0"/>
            <w:tcW w:w="2684" w:type="dxa"/>
            <w:vAlign w:val="top"/>
          </w:tcPr>
          <w:p w14:paraId="75263CDB" w14:textId="77777777" w:rsidR="001876D9" w:rsidRPr="00A8041F" w:rsidRDefault="001876D9" w:rsidP="001876D9">
            <w:pPr>
              <w:pStyle w:val="Geenafstand"/>
              <w:rPr>
                <w:rStyle w:val="Zwaar"/>
                <w:bCs w:val="0"/>
                <w:lang w:val="fr-FR"/>
              </w:rPr>
            </w:pPr>
            <w:r w:rsidRPr="00A8041F">
              <w:rPr>
                <w:lang w:val="fr-FR"/>
              </w:rPr>
              <w:t>SPF Chancellerie</w:t>
            </w:r>
          </w:p>
        </w:tc>
        <w:tc>
          <w:tcPr>
            <w:tcW w:w="1417" w:type="dxa"/>
            <w:vAlign w:val="bottom"/>
          </w:tcPr>
          <w:p w14:paraId="56F985EF" w14:textId="50D97179" w:rsidR="001876D9" w:rsidRPr="00A8041F" w:rsidRDefault="001876D9" w:rsidP="001876D9">
            <w:pPr>
              <w:pStyle w:val="Geenafstand"/>
              <w:jc w:val="right"/>
              <w:cnfStyle w:val="000000000000" w:firstRow="0" w:lastRow="0" w:firstColumn="0" w:lastColumn="0" w:oddVBand="0" w:evenVBand="0" w:oddHBand="0" w:evenHBand="0" w:firstRowFirstColumn="0" w:firstRowLastColumn="0" w:lastRowFirstColumn="0" w:lastRowLastColumn="0"/>
              <w:rPr>
                <w:lang w:val="fr-FR"/>
              </w:rPr>
            </w:pPr>
            <w:r w:rsidRPr="00A06A1A">
              <w:t>1.812</w:t>
            </w:r>
          </w:p>
        </w:tc>
        <w:tc>
          <w:tcPr>
            <w:tcW w:w="1839" w:type="dxa"/>
            <w:vAlign w:val="bottom"/>
          </w:tcPr>
          <w:p w14:paraId="3D93FCB6" w14:textId="609BCE5E" w:rsidR="001876D9" w:rsidRPr="00A8041F" w:rsidRDefault="001876D9" w:rsidP="001876D9">
            <w:pPr>
              <w:pStyle w:val="Geenafstand"/>
              <w:jc w:val="center"/>
              <w:cnfStyle w:val="000000000000" w:firstRow="0" w:lastRow="0" w:firstColumn="0" w:lastColumn="0" w:oddVBand="0" w:evenVBand="0" w:oddHBand="0" w:evenHBand="0" w:firstRowFirstColumn="0" w:firstRowLastColumn="0" w:lastRowFirstColumn="0" w:lastRowLastColumn="0"/>
              <w:rPr>
                <w:lang w:val="fr-FR"/>
              </w:rPr>
            </w:pPr>
            <w:r w:rsidRPr="00A06A1A">
              <w:t>35</w:t>
            </w:r>
          </w:p>
        </w:tc>
        <w:tc>
          <w:tcPr>
            <w:tcW w:w="1839" w:type="dxa"/>
            <w:vAlign w:val="bottom"/>
          </w:tcPr>
          <w:p w14:paraId="7152B89E" w14:textId="07A98388" w:rsidR="001876D9" w:rsidRPr="00A8041F" w:rsidRDefault="001876D9" w:rsidP="001876D9">
            <w:pPr>
              <w:pStyle w:val="Geenafstand"/>
              <w:jc w:val="center"/>
              <w:cnfStyle w:val="000000000000" w:firstRow="0" w:lastRow="0" w:firstColumn="0" w:lastColumn="0" w:oddVBand="0" w:evenVBand="0" w:oddHBand="0" w:evenHBand="0" w:firstRowFirstColumn="0" w:firstRowLastColumn="0" w:lastRowFirstColumn="0" w:lastRowLastColumn="0"/>
              <w:rPr>
                <w:lang w:val="fr-FR"/>
              </w:rPr>
            </w:pPr>
            <w:r w:rsidRPr="00A06A1A">
              <w:t>20</w:t>
            </w:r>
          </w:p>
        </w:tc>
        <w:tc>
          <w:tcPr>
            <w:tcW w:w="1839" w:type="dxa"/>
            <w:vAlign w:val="bottom"/>
          </w:tcPr>
          <w:p w14:paraId="0D8171D3" w14:textId="48ABAFBC" w:rsidR="001876D9" w:rsidRPr="00A8041F" w:rsidRDefault="001876D9" w:rsidP="001876D9">
            <w:pPr>
              <w:pStyle w:val="Geenafstand"/>
              <w:jc w:val="center"/>
              <w:cnfStyle w:val="000000000000" w:firstRow="0" w:lastRow="0" w:firstColumn="0" w:lastColumn="0" w:oddVBand="0" w:evenVBand="0" w:oddHBand="0" w:evenHBand="0" w:firstRowFirstColumn="0" w:firstRowLastColumn="0" w:lastRowFirstColumn="0" w:lastRowLastColumn="0"/>
              <w:rPr>
                <w:lang w:val="fr-FR"/>
              </w:rPr>
            </w:pPr>
            <w:r w:rsidRPr="00A06A1A">
              <w:t>4</w:t>
            </w:r>
          </w:p>
        </w:tc>
      </w:tr>
      <w:tr w:rsidR="001876D9" w:rsidRPr="00A8041F" w14:paraId="77B5157E" w14:textId="77777777" w:rsidTr="00902DBF">
        <w:tc>
          <w:tcPr>
            <w:cnfStyle w:val="001000000000" w:firstRow="0" w:lastRow="0" w:firstColumn="1" w:lastColumn="0" w:oddVBand="0" w:evenVBand="0" w:oddHBand="0" w:evenHBand="0" w:firstRowFirstColumn="0" w:firstRowLastColumn="0" w:lastRowFirstColumn="0" w:lastRowLastColumn="0"/>
            <w:tcW w:w="2684" w:type="dxa"/>
            <w:vAlign w:val="top"/>
          </w:tcPr>
          <w:p w14:paraId="0774D187" w14:textId="77777777" w:rsidR="001876D9" w:rsidRPr="00A8041F" w:rsidRDefault="001876D9" w:rsidP="001876D9">
            <w:pPr>
              <w:pStyle w:val="Geenafstand"/>
              <w:rPr>
                <w:rStyle w:val="Zwaar"/>
                <w:bCs w:val="0"/>
                <w:lang w:val="fr-FR"/>
              </w:rPr>
            </w:pPr>
            <w:r w:rsidRPr="00A8041F">
              <w:rPr>
                <w:lang w:val="fr-FR"/>
              </w:rPr>
              <w:t xml:space="preserve">SPF Mobilité </w:t>
            </w:r>
          </w:p>
        </w:tc>
        <w:tc>
          <w:tcPr>
            <w:tcW w:w="1417" w:type="dxa"/>
            <w:vAlign w:val="bottom"/>
          </w:tcPr>
          <w:p w14:paraId="2796DBF8" w14:textId="710D57AD" w:rsidR="001876D9" w:rsidRPr="00A8041F" w:rsidRDefault="001876D9" w:rsidP="001876D9">
            <w:pPr>
              <w:pStyle w:val="Geenafstand"/>
              <w:jc w:val="right"/>
              <w:cnfStyle w:val="000000000000" w:firstRow="0" w:lastRow="0" w:firstColumn="0" w:lastColumn="0" w:oddVBand="0" w:evenVBand="0" w:oddHBand="0" w:evenHBand="0" w:firstRowFirstColumn="0" w:firstRowLastColumn="0" w:lastRowFirstColumn="0" w:lastRowLastColumn="0"/>
              <w:rPr>
                <w:lang w:val="fr-FR"/>
              </w:rPr>
            </w:pPr>
            <w:r w:rsidRPr="00A06A1A">
              <w:t>2.582</w:t>
            </w:r>
          </w:p>
        </w:tc>
        <w:tc>
          <w:tcPr>
            <w:tcW w:w="1839" w:type="dxa"/>
            <w:vAlign w:val="bottom"/>
          </w:tcPr>
          <w:p w14:paraId="61818E36" w14:textId="42CAC6DA" w:rsidR="001876D9" w:rsidRPr="00A8041F" w:rsidRDefault="001876D9" w:rsidP="001876D9">
            <w:pPr>
              <w:pStyle w:val="Geenafstand"/>
              <w:jc w:val="center"/>
              <w:cnfStyle w:val="000000000000" w:firstRow="0" w:lastRow="0" w:firstColumn="0" w:lastColumn="0" w:oddVBand="0" w:evenVBand="0" w:oddHBand="0" w:evenHBand="0" w:firstRowFirstColumn="0" w:firstRowLastColumn="0" w:lastRowFirstColumn="0" w:lastRowLastColumn="0"/>
              <w:rPr>
                <w:lang w:val="fr-FR"/>
              </w:rPr>
            </w:pPr>
            <w:r w:rsidRPr="00A06A1A">
              <w:t>34</w:t>
            </w:r>
          </w:p>
        </w:tc>
        <w:tc>
          <w:tcPr>
            <w:tcW w:w="1839" w:type="dxa"/>
            <w:vAlign w:val="bottom"/>
          </w:tcPr>
          <w:p w14:paraId="423994A5" w14:textId="1C348C62" w:rsidR="001876D9" w:rsidRPr="00A8041F" w:rsidRDefault="001876D9" w:rsidP="001876D9">
            <w:pPr>
              <w:pStyle w:val="Geenafstand"/>
              <w:jc w:val="center"/>
              <w:cnfStyle w:val="000000000000" w:firstRow="0" w:lastRow="0" w:firstColumn="0" w:lastColumn="0" w:oddVBand="0" w:evenVBand="0" w:oddHBand="0" w:evenHBand="0" w:firstRowFirstColumn="0" w:firstRowLastColumn="0" w:lastRowFirstColumn="0" w:lastRowLastColumn="0"/>
              <w:rPr>
                <w:lang w:val="fr-FR"/>
              </w:rPr>
            </w:pPr>
            <w:r w:rsidRPr="00A06A1A">
              <w:t>18</w:t>
            </w:r>
          </w:p>
        </w:tc>
        <w:tc>
          <w:tcPr>
            <w:tcW w:w="1839" w:type="dxa"/>
            <w:vAlign w:val="bottom"/>
          </w:tcPr>
          <w:p w14:paraId="36084E6A" w14:textId="6B74DB5D" w:rsidR="001876D9" w:rsidRPr="00A8041F" w:rsidRDefault="001876D9" w:rsidP="001876D9">
            <w:pPr>
              <w:pStyle w:val="Geenafstand"/>
              <w:jc w:val="center"/>
              <w:cnfStyle w:val="000000000000" w:firstRow="0" w:lastRow="0" w:firstColumn="0" w:lastColumn="0" w:oddVBand="0" w:evenVBand="0" w:oddHBand="0" w:evenHBand="0" w:firstRowFirstColumn="0" w:firstRowLastColumn="0" w:lastRowFirstColumn="0" w:lastRowLastColumn="0"/>
              <w:rPr>
                <w:lang w:val="fr-FR"/>
              </w:rPr>
            </w:pPr>
            <w:r w:rsidRPr="00A06A1A">
              <w:t>3</w:t>
            </w:r>
          </w:p>
        </w:tc>
      </w:tr>
      <w:tr w:rsidR="001876D9" w:rsidRPr="00A8041F" w14:paraId="2460B95F" w14:textId="77777777" w:rsidTr="00902DBF">
        <w:tc>
          <w:tcPr>
            <w:cnfStyle w:val="001000000000" w:firstRow="0" w:lastRow="0" w:firstColumn="1" w:lastColumn="0" w:oddVBand="0" w:evenVBand="0" w:oddHBand="0" w:evenHBand="0" w:firstRowFirstColumn="0" w:firstRowLastColumn="0" w:lastRowFirstColumn="0" w:lastRowLastColumn="0"/>
            <w:tcW w:w="2684" w:type="dxa"/>
            <w:vAlign w:val="top"/>
          </w:tcPr>
          <w:p w14:paraId="79066C92" w14:textId="77777777" w:rsidR="001876D9" w:rsidRPr="00A8041F" w:rsidRDefault="001876D9" w:rsidP="001876D9">
            <w:pPr>
              <w:pStyle w:val="Geenafstand"/>
              <w:rPr>
                <w:rStyle w:val="Zwaar"/>
                <w:bCs w:val="0"/>
                <w:lang w:val="fr-FR"/>
              </w:rPr>
            </w:pPr>
            <w:r w:rsidRPr="00A8041F">
              <w:rPr>
                <w:lang w:val="fr-FR"/>
              </w:rPr>
              <w:t>SPF Sécurité sociale</w:t>
            </w:r>
          </w:p>
        </w:tc>
        <w:tc>
          <w:tcPr>
            <w:tcW w:w="1417" w:type="dxa"/>
            <w:vAlign w:val="bottom"/>
          </w:tcPr>
          <w:p w14:paraId="0680092A" w14:textId="7A779D97" w:rsidR="001876D9" w:rsidRPr="00A8041F" w:rsidRDefault="001876D9" w:rsidP="001876D9">
            <w:pPr>
              <w:pStyle w:val="Geenafstand"/>
              <w:jc w:val="right"/>
              <w:cnfStyle w:val="000000000000" w:firstRow="0" w:lastRow="0" w:firstColumn="0" w:lastColumn="0" w:oddVBand="0" w:evenVBand="0" w:oddHBand="0" w:evenHBand="0" w:firstRowFirstColumn="0" w:firstRowLastColumn="0" w:lastRowFirstColumn="0" w:lastRowLastColumn="0"/>
              <w:rPr>
                <w:lang w:val="fr-FR"/>
              </w:rPr>
            </w:pPr>
            <w:r w:rsidRPr="00A06A1A">
              <w:t>2.531</w:t>
            </w:r>
          </w:p>
        </w:tc>
        <w:tc>
          <w:tcPr>
            <w:tcW w:w="1839" w:type="dxa"/>
            <w:vAlign w:val="bottom"/>
          </w:tcPr>
          <w:p w14:paraId="78EC47ED" w14:textId="5721FC94" w:rsidR="001876D9" w:rsidRPr="00A8041F" w:rsidRDefault="001876D9" w:rsidP="001876D9">
            <w:pPr>
              <w:pStyle w:val="Geenafstand"/>
              <w:jc w:val="center"/>
              <w:cnfStyle w:val="000000000000" w:firstRow="0" w:lastRow="0" w:firstColumn="0" w:lastColumn="0" w:oddVBand="0" w:evenVBand="0" w:oddHBand="0" w:evenHBand="0" w:firstRowFirstColumn="0" w:firstRowLastColumn="0" w:lastRowFirstColumn="0" w:lastRowLastColumn="0"/>
              <w:rPr>
                <w:lang w:val="fr-FR"/>
              </w:rPr>
            </w:pPr>
            <w:r w:rsidRPr="00A06A1A">
              <w:t>34</w:t>
            </w:r>
          </w:p>
        </w:tc>
        <w:tc>
          <w:tcPr>
            <w:tcW w:w="1839" w:type="dxa"/>
            <w:vAlign w:val="bottom"/>
          </w:tcPr>
          <w:p w14:paraId="1B904DBB" w14:textId="31C46EE6" w:rsidR="001876D9" w:rsidRPr="00A8041F" w:rsidRDefault="001876D9" w:rsidP="001876D9">
            <w:pPr>
              <w:pStyle w:val="Geenafstand"/>
              <w:jc w:val="center"/>
              <w:cnfStyle w:val="000000000000" w:firstRow="0" w:lastRow="0" w:firstColumn="0" w:lastColumn="0" w:oddVBand="0" w:evenVBand="0" w:oddHBand="0" w:evenHBand="0" w:firstRowFirstColumn="0" w:firstRowLastColumn="0" w:lastRowFirstColumn="0" w:lastRowLastColumn="0"/>
              <w:rPr>
                <w:lang w:val="fr-FR"/>
              </w:rPr>
            </w:pPr>
            <w:r w:rsidRPr="00A06A1A">
              <w:t>5</w:t>
            </w:r>
          </w:p>
        </w:tc>
        <w:tc>
          <w:tcPr>
            <w:tcW w:w="1839" w:type="dxa"/>
            <w:vAlign w:val="bottom"/>
          </w:tcPr>
          <w:p w14:paraId="0A02B184" w14:textId="2BDC9E33" w:rsidR="001876D9" w:rsidRPr="00A8041F" w:rsidRDefault="001876D9" w:rsidP="001876D9">
            <w:pPr>
              <w:pStyle w:val="Geenafstand"/>
              <w:jc w:val="center"/>
              <w:cnfStyle w:val="000000000000" w:firstRow="0" w:lastRow="0" w:firstColumn="0" w:lastColumn="0" w:oddVBand="0" w:evenVBand="0" w:oddHBand="0" w:evenHBand="0" w:firstRowFirstColumn="0" w:firstRowLastColumn="0" w:lastRowFirstColumn="0" w:lastRowLastColumn="0"/>
              <w:rPr>
                <w:lang w:val="fr-FR"/>
              </w:rPr>
            </w:pPr>
            <w:r w:rsidRPr="00A06A1A">
              <w:t>3</w:t>
            </w:r>
          </w:p>
        </w:tc>
      </w:tr>
      <w:tr w:rsidR="001876D9" w:rsidRPr="00A8041F" w14:paraId="704465B3" w14:textId="77777777" w:rsidTr="00902DBF">
        <w:tc>
          <w:tcPr>
            <w:cnfStyle w:val="001000000000" w:firstRow="0" w:lastRow="0" w:firstColumn="1" w:lastColumn="0" w:oddVBand="0" w:evenVBand="0" w:oddHBand="0" w:evenHBand="0" w:firstRowFirstColumn="0" w:firstRowLastColumn="0" w:lastRowFirstColumn="0" w:lastRowLastColumn="0"/>
            <w:tcW w:w="2684" w:type="dxa"/>
            <w:vAlign w:val="top"/>
          </w:tcPr>
          <w:p w14:paraId="2DB42FA1" w14:textId="77777777" w:rsidR="001876D9" w:rsidRPr="00A8041F" w:rsidRDefault="001876D9" w:rsidP="001876D9">
            <w:pPr>
              <w:pStyle w:val="Geenafstand"/>
              <w:rPr>
                <w:rStyle w:val="Zwaar"/>
                <w:bCs w:val="0"/>
                <w:lang w:val="fr-FR"/>
              </w:rPr>
            </w:pPr>
            <w:r w:rsidRPr="00A8041F">
              <w:rPr>
                <w:lang w:val="fr-FR"/>
              </w:rPr>
              <w:t>SPF Emploi</w:t>
            </w:r>
          </w:p>
        </w:tc>
        <w:tc>
          <w:tcPr>
            <w:tcW w:w="1417" w:type="dxa"/>
            <w:vAlign w:val="bottom"/>
          </w:tcPr>
          <w:p w14:paraId="7493FD37" w14:textId="2F3E5A66" w:rsidR="001876D9" w:rsidRPr="00A8041F" w:rsidRDefault="001876D9" w:rsidP="001876D9">
            <w:pPr>
              <w:pStyle w:val="Geenafstand"/>
              <w:jc w:val="right"/>
              <w:cnfStyle w:val="000000000000" w:firstRow="0" w:lastRow="0" w:firstColumn="0" w:lastColumn="0" w:oddVBand="0" w:evenVBand="0" w:oddHBand="0" w:evenHBand="0" w:firstRowFirstColumn="0" w:firstRowLastColumn="0" w:lastRowFirstColumn="0" w:lastRowLastColumn="0"/>
              <w:rPr>
                <w:lang w:val="fr-FR"/>
              </w:rPr>
            </w:pPr>
            <w:r w:rsidRPr="00A06A1A">
              <w:t>2.041</w:t>
            </w:r>
          </w:p>
        </w:tc>
        <w:tc>
          <w:tcPr>
            <w:tcW w:w="1839" w:type="dxa"/>
            <w:vAlign w:val="bottom"/>
          </w:tcPr>
          <w:p w14:paraId="6C661CFD" w14:textId="66BD93AA" w:rsidR="001876D9" w:rsidRPr="00A8041F" w:rsidRDefault="001876D9" w:rsidP="001876D9">
            <w:pPr>
              <w:pStyle w:val="Geenafstand"/>
              <w:jc w:val="center"/>
              <w:cnfStyle w:val="000000000000" w:firstRow="0" w:lastRow="0" w:firstColumn="0" w:lastColumn="0" w:oddVBand="0" w:evenVBand="0" w:oddHBand="0" w:evenHBand="0" w:firstRowFirstColumn="0" w:firstRowLastColumn="0" w:lastRowFirstColumn="0" w:lastRowLastColumn="0"/>
              <w:rPr>
                <w:lang w:val="fr-FR"/>
              </w:rPr>
            </w:pPr>
            <w:r w:rsidRPr="00A06A1A">
              <w:t>27</w:t>
            </w:r>
          </w:p>
        </w:tc>
        <w:tc>
          <w:tcPr>
            <w:tcW w:w="1839" w:type="dxa"/>
            <w:vAlign w:val="bottom"/>
          </w:tcPr>
          <w:p w14:paraId="24731969" w14:textId="795647FF" w:rsidR="001876D9" w:rsidRPr="00A8041F" w:rsidRDefault="001876D9" w:rsidP="001876D9">
            <w:pPr>
              <w:pStyle w:val="Geenafstand"/>
              <w:jc w:val="center"/>
              <w:cnfStyle w:val="000000000000" w:firstRow="0" w:lastRow="0" w:firstColumn="0" w:lastColumn="0" w:oddVBand="0" w:evenVBand="0" w:oddHBand="0" w:evenHBand="0" w:firstRowFirstColumn="0" w:firstRowLastColumn="0" w:lastRowFirstColumn="0" w:lastRowLastColumn="0"/>
              <w:rPr>
                <w:lang w:val="fr-FR"/>
              </w:rPr>
            </w:pPr>
            <w:r w:rsidRPr="00A06A1A">
              <w:t>15</w:t>
            </w:r>
          </w:p>
        </w:tc>
        <w:tc>
          <w:tcPr>
            <w:tcW w:w="1839" w:type="dxa"/>
            <w:vAlign w:val="bottom"/>
          </w:tcPr>
          <w:p w14:paraId="6EA2A297" w14:textId="05595946" w:rsidR="001876D9" w:rsidRPr="00A8041F" w:rsidRDefault="001876D9" w:rsidP="001876D9">
            <w:pPr>
              <w:pStyle w:val="Geenafstand"/>
              <w:jc w:val="center"/>
              <w:cnfStyle w:val="000000000000" w:firstRow="0" w:lastRow="0" w:firstColumn="0" w:lastColumn="0" w:oddVBand="0" w:evenVBand="0" w:oddHBand="0" w:evenHBand="0" w:firstRowFirstColumn="0" w:firstRowLastColumn="0" w:lastRowFirstColumn="0" w:lastRowLastColumn="0"/>
              <w:rPr>
                <w:lang w:val="fr-FR"/>
              </w:rPr>
            </w:pPr>
            <w:r w:rsidRPr="00A06A1A">
              <w:t>4</w:t>
            </w:r>
          </w:p>
        </w:tc>
      </w:tr>
      <w:tr w:rsidR="001876D9" w:rsidRPr="00A8041F" w14:paraId="3A9DADDF" w14:textId="77777777" w:rsidTr="000B6D81">
        <w:tc>
          <w:tcPr>
            <w:cnfStyle w:val="001000000000" w:firstRow="0" w:lastRow="0" w:firstColumn="1" w:lastColumn="0" w:oddVBand="0" w:evenVBand="0" w:oddHBand="0" w:evenHBand="0" w:firstRowFirstColumn="0" w:firstRowLastColumn="0" w:lastRowFirstColumn="0" w:lastRowLastColumn="0"/>
            <w:tcW w:w="2684" w:type="dxa"/>
            <w:vAlign w:val="top"/>
          </w:tcPr>
          <w:p w14:paraId="0AFE8522" w14:textId="77777777" w:rsidR="001876D9" w:rsidRPr="00A8041F" w:rsidRDefault="001876D9" w:rsidP="001876D9">
            <w:pPr>
              <w:pStyle w:val="Geenafstand"/>
              <w:rPr>
                <w:rStyle w:val="Zwaar"/>
                <w:bCs w:val="0"/>
                <w:lang w:val="fr-FR"/>
              </w:rPr>
            </w:pPr>
            <w:r w:rsidRPr="00A8041F">
              <w:rPr>
                <w:lang w:val="fr-FR"/>
              </w:rPr>
              <w:t>Intégration sociale</w:t>
            </w:r>
          </w:p>
        </w:tc>
        <w:tc>
          <w:tcPr>
            <w:tcW w:w="1417" w:type="dxa"/>
            <w:vAlign w:val="top"/>
          </w:tcPr>
          <w:p w14:paraId="61461BA0" w14:textId="2AC31A6E" w:rsidR="001876D9" w:rsidRPr="00A8041F" w:rsidRDefault="001876D9" w:rsidP="001876D9">
            <w:pPr>
              <w:pStyle w:val="Geenafstand"/>
              <w:jc w:val="right"/>
              <w:cnfStyle w:val="000000000000" w:firstRow="0" w:lastRow="0" w:firstColumn="0" w:lastColumn="0" w:oddVBand="0" w:evenVBand="0" w:oddHBand="0" w:evenHBand="0" w:firstRowFirstColumn="0" w:firstRowLastColumn="0" w:lastRowFirstColumn="0" w:lastRowLastColumn="0"/>
              <w:rPr>
                <w:lang w:val="fr-FR"/>
              </w:rPr>
            </w:pPr>
            <w:r>
              <w:t>327</w:t>
            </w:r>
          </w:p>
        </w:tc>
        <w:tc>
          <w:tcPr>
            <w:tcW w:w="1839" w:type="dxa"/>
            <w:vAlign w:val="top"/>
          </w:tcPr>
          <w:p w14:paraId="599EC4C1" w14:textId="114B5CB1" w:rsidR="001876D9" w:rsidRPr="00A8041F" w:rsidRDefault="001876D9" w:rsidP="001876D9">
            <w:pPr>
              <w:pStyle w:val="Geenafstand"/>
              <w:jc w:val="center"/>
              <w:cnfStyle w:val="000000000000" w:firstRow="0" w:lastRow="0" w:firstColumn="0" w:lastColumn="0" w:oddVBand="0" w:evenVBand="0" w:oddHBand="0" w:evenHBand="0" w:firstRowFirstColumn="0" w:firstRowLastColumn="0" w:lastRowFirstColumn="0" w:lastRowLastColumn="0"/>
              <w:rPr>
                <w:lang w:val="fr-FR"/>
              </w:rPr>
            </w:pPr>
            <w:r>
              <w:t>92</w:t>
            </w:r>
            <w:r>
              <w:rPr>
                <w:rStyle w:val="Voetnootmarkering"/>
              </w:rPr>
              <w:footnoteReference w:id="4"/>
            </w:r>
          </w:p>
        </w:tc>
        <w:tc>
          <w:tcPr>
            <w:tcW w:w="1839" w:type="dxa"/>
            <w:vAlign w:val="bottom"/>
          </w:tcPr>
          <w:p w14:paraId="3AEF1514" w14:textId="4E93698A" w:rsidR="001876D9" w:rsidRPr="00A8041F" w:rsidRDefault="001876D9" w:rsidP="001876D9">
            <w:pPr>
              <w:pStyle w:val="Geenafstand"/>
              <w:jc w:val="center"/>
              <w:cnfStyle w:val="000000000000" w:firstRow="0" w:lastRow="0" w:firstColumn="0" w:lastColumn="0" w:oddVBand="0" w:evenVBand="0" w:oddHBand="0" w:evenHBand="0" w:firstRowFirstColumn="0" w:firstRowLastColumn="0" w:lastRowFirstColumn="0" w:lastRowLastColumn="0"/>
              <w:rPr>
                <w:lang w:val="fr-FR"/>
              </w:rPr>
            </w:pPr>
            <w:r w:rsidRPr="00330C1D">
              <w:t>16</w:t>
            </w:r>
          </w:p>
        </w:tc>
        <w:tc>
          <w:tcPr>
            <w:tcW w:w="1839" w:type="dxa"/>
            <w:vAlign w:val="bottom"/>
          </w:tcPr>
          <w:p w14:paraId="01086880" w14:textId="5002833A" w:rsidR="001876D9" w:rsidRPr="00A8041F" w:rsidRDefault="001876D9" w:rsidP="001876D9">
            <w:pPr>
              <w:pStyle w:val="Geenafstand"/>
              <w:jc w:val="center"/>
              <w:cnfStyle w:val="000000000000" w:firstRow="0" w:lastRow="0" w:firstColumn="0" w:lastColumn="0" w:oddVBand="0" w:evenVBand="0" w:oddHBand="0" w:evenHBand="0" w:firstRowFirstColumn="0" w:firstRowLastColumn="0" w:lastRowFirstColumn="0" w:lastRowLastColumn="0"/>
              <w:rPr>
                <w:lang w:val="fr-FR"/>
              </w:rPr>
            </w:pPr>
            <w:r w:rsidRPr="00330C1D">
              <w:t>2</w:t>
            </w:r>
          </w:p>
        </w:tc>
      </w:tr>
      <w:tr w:rsidR="001876D9" w:rsidRPr="00A8041F" w14:paraId="7C8D8125" w14:textId="77777777" w:rsidTr="00BC2833">
        <w:tc>
          <w:tcPr>
            <w:cnfStyle w:val="001000000000" w:firstRow="0" w:lastRow="0" w:firstColumn="1" w:lastColumn="0" w:oddVBand="0" w:evenVBand="0" w:oddHBand="0" w:evenHBand="0" w:firstRowFirstColumn="0" w:firstRowLastColumn="0" w:lastRowFirstColumn="0" w:lastRowLastColumn="0"/>
            <w:tcW w:w="2684" w:type="dxa"/>
            <w:vAlign w:val="top"/>
          </w:tcPr>
          <w:p w14:paraId="4E2426C5" w14:textId="77777777" w:rsidR="001876D9" w:rsidRPr="00A8041F" w:rsidRDefault="001876D9" w:rsidP="001876D9">
            <w:pPr>
              <w:pStyle w:val="Geenafstand"/>
              <w:rPr>
                <w:rStyle w:val="Zwaar"/>
                <w:bCs w:val="0"/>
                <w:lang w:val="fr-FR"/>
              </w:rPr>
            </w:pPr>
            <w:r w:rsidRPr="00A8041F">
              <w:rPr>
                <w:lang w:val="fr-FR"/>
              </w:rPr>
              <w:t>Total</w:t>
            </w:r>
          </w:p>
        </w:tc>
        <w:tc>
          <w:tcPr>
            <w:tcW w:w="1417" w:type="dxa"/>
            <w:vAlign w:val="bottom"/>
          </w:tcPr>
          <w:p w14:paraId="5BF021F1" w14:textId="7C11F538" w:rsidR="001876D9" w:rsidRPr="00346255" w:rsidRDefault="001876D9" w:rsidP="001876D9">
            <w:pPr>
              <w:pStyle w:val="Geenafstand"/>
              <w:jc w:val="right"/>
              <w:cnfStyle w:val="000000000000" w:firstRow="0" w:lastRow="0" w:firstColumn="0" w:lastColumn="0" w:oddVBand="0" w:evenVBand="0" w:oddHBand="0" w:evenHBand="0" w:firstRowFirstColumn="0" w:firstRowLastColumn="0" w:lastRowFirstColumn="0" w:lastRowLastColumn="0"/>
              <w:rPr>
                <w:rStyle w:val="Zwaar"/>
                <w:b w:val="0"/>
                <w:bCs w:val="0"/>
              </w:rPr>
            </w:pPr>
            <w:r w:rsidRPr="00330C1D">
              <w:rPr>
                <w:b/>
                <w:bCs/>
              </w:rPr>
              <w:t>93.538</w:t>
            </w:r>
          </w:p>
        </w:tc>
        <w:tc>
          <w:tcPr>
            <w:tcW w:w="1839" w:type="dxa"/>
            <w:vAlign w:val="top"/>
          </w:tcPr>
          <w:p w14:paraId="2652F43E" w14:textId="143E0EAE" w:rsidR="001876D9" w:rsidRPr="00346255" w:rsidRDefault="001876D9" w:rsidP="001876D9">
            <w:pPr>
              <w:pStyle w:val="Geenafstand"/>
              <w:jc w:val="center"/>
              <w:cnfStyle w:val="000000000000" w:firstRow="0" w:lastRow="0" w:firstColumn="0" w:lastColumn="0" w:oddVBand="0" w:evenVBand="0" w:oddHBand="0" w:evenHBand="0" w:firstRowFirstColumn="0" w:firstRowLastColumn="0" w:lastRowFirstColumn="0" w:lastRowLastColumn="0"/>
              <w:rPr>
                <w:rStyle w:val="Zwaar"/>
                <w:b w:val="0"/>
                <w:bCs w:val="0"/>
              </w:rPr>
            </w:pPr>
            <w:r w:rsidRPr="00DD6FE8">
              <w:rPr>
                <w:b/>
                <w:bCs/>
              </w:rPr>
              <w:t>4</w:t>
            </w:r>
            <w:r>
              <w:rPr>
                <w:b/>
                <w:bCs/>
              </w:rPr>
              <w:t>7</w:t>
            </w:r>
          </w:p>
        </w:tc>
        <w:tc>
          <w:tcPr>
            <w:tcW w:w="1839" w:type="dxa"/>
            <w:vAlign w:val="bottom"/>
          </w:tcPr>
          <w:p w14:paraId="5770B242" w14:textId="62B2A675" w:rsidR="001876D9" w:rsidRPr="00346255" w:rsidRDefault="001876D9" w:rsidP="001876D9">
            <w:pPr>
              <w:pStyle w:val="Geenafstand"/>
              <w:jc w:val="center"/>
              <w:cnfStyle w:val="000000000000" w:firstRow="0" w:lastRow="0" w:firstColumn="0" w:lastColumn="0" w:oddVBand="0" w:evenVBand="0" w:oddHBand="0" w:evenHBand="0" w:firstRowFirstColumn="0" w:firstRowLastColumn="0" w:lastRowFirstColumn="0" w:lastRowLastColumn="0"/>
              <w:rPr>
                <w:rStyle w:val="Zwaar"/>
                <w:b w:val="0"/>
                <w:bCs w:val="0"/>
              </w:rPr>
            </w:pPr>
            <w:r w:rsidRPr="00330C1D">
              <w:rPr>
                <w:b/>
                <w:bCs/>
              </w:rPr>
              <w:t>21</w:t>
            </w:r>
          </w:p>
        </w:tc>
        <w:tc>
          <w:tcPr>
            <w:tcW w:w="1839" w:type="dxa"/>
            <w:vAlign w:val="bottom"/>
          </w:tcPr>
          <w:p w14:paraId="19736F9C" w14:textId="38E01F55" w:rsidR="001876D9" w:rsidRPr="00346255" w:rsidRDefault="001876D9" w:rsidP="001876D9">
            <w:pPr>
              <w:pStyle w:val="Geenafstand"/>
              <w:jc w:val="center"/>
              <w:cnfStyle w:val="000000000000" w:firstRow="0" w:lastRow="0" w:firstColumn="0" w:lastColumn="0" w:oddVBand="0" w:evenVBand="0" w:oddHBand="0" w:evenHBand="0" w:firstRowFirstColumn="0" w:firstRowLastColumn="0" w:lastRowFirstColumn="0" w:lastRowLastColumn="0"/>
              <w:rPr>
                <w:rStyle w:val="Zwaar"/>
                <w:b w:val="0"/>
                <w:bCs w:val="0"/>
              </w:rPr>
            </w:pPr>
            <w:r w:rsidRPr="00330C1D">
              <w:rPr>
                <w:b/>
                <w:bCs/>
              </w:rPr>
              <w:t>7</w:t>
            </w:r>
          </w:p>
        </w:tc>
      </w:tr>
    </w:tbl>
    <w:p w14:paraId="32CD1FD9" w14:textId="77777777" w:rsidR="00421D7A" w:rsidRPr="00A8041F" w:rsidRDefault="00421D7A" w:rsidP="00C02028">
      <w:pPr>
        <w:pStyle w:val="Geenafstand"/>
        <w:rPr>
          <w:lang w:val="fr-FR"/>
        </w:rPr>
      </w:pPr>
    </w:p>
    <w:p w14:paraId="182612CD" w14:textId="4ED0A035" w:rsidR="0097760F" w:rsidRPr="00A8041F" w:rsidRDefault="00CD1B6D" w:rsidP="0097760F">
      <w:pPr>
        <w:rPr>
          <w:lang w:val="fr-FR"/>
        </w:rPr>
      </w:pPr>
      <w:r w:rsidRPr="00A8041F">
        <w:rPr>
          <w:lang w:val="fr-FR"/>
        </w:rPr>
        <w:lastRenderedPageBreak/>
        <w:t>Le tableau ci-dessus reprend les délais de paiement moyens de toutes les factures qui ont été payées par les SPF et les SPP entre janvier 20</w:t>
      </w:r>
      <w:r w:rsidR="00346255">
        <w:rPr>
          <w:lang w:val="fr-FR"/>
        </w:rPr>
        <w:t>22</w:t>
      </w:r>
      <w:r w:rsidRPr="00A8041F">
        <w:rPr>
          <w:lang w:val="fr-FR"/>
        </w:rPr>
        <w:t xml:space="preserve"> et </w:t>
      </w:r>
      <w:r w:rsidR="00D43744">
        <w:rPr>
          <w:lang w:val="fr-FR"/>
        </w:rPr>
        <w:t>ju</w:t>
      </w:r>
      <w:r w:rsidR="00C74F8D">
        <w:rPr>
          <w:lang w:val="fr-FR"/>
        </w:rPr>
        <w:t>in</w:t>
      </w:r>
      <w:r w:rsidRPr="00A8041F">
        <w:rPr>
          <w:lang w:val="fr-FR"/>
        </w:rPr>
        <w:t xml:space="preserve"> 202</w:t>
      </w:r>
      <w:r w:rsidR="00346255">
        <w:rPr>
          <w:lang w:val="fr-FR"/>
        </w:rPr>
        <w:t>2</w:t>
      </w:r>
      <w:r w:rsidRPr="00A8041F">
        <w:rPr>
          <w:lang w:val="fr-FR"/>
        </w:rPr>
        <w:t>.</w:t>
      </w:r>
    </w:p>
    <w:p w14:paraId="7EA928A6" w14:textId="38324DD1" w:rsidR="000B6DDE" w:rsidRPr="00A8041F" w:rsidRDefault="00CB54FF" w:rsidP="00CE3CED">
      <w:pPr>
        <w:rPr>
          <w:lang w:val="fr-FR"/>
        </w:rPr>
      </w:pPr>
      <w:r w:rsidRPr="00A8041F">
        <w:rPr>
          <w:lang w:val="fr-FR"/>
        </w:rPr>
        <w:t xml:space="preserve">Le délai de paiement moyen par rapport à la réception et au scan de la facture s’élève actuellement à </w:t>
      </w:r>
      <w:r w:rsidR="00346255">
        <w:rPr>
          <w:lang w:val="fr-FR"/>
        </w:rPr>
        <w:t>21</w:t>
      </w:r>
      <w:r w:rsidRPr="00A8041F">
        <w:rPr>
          <w:lang w:val="fr-FR"/>
        </w:rPr>
        <w:t xml:space="preserve"> jours seulement. </w:t>
      </w:r>
      <w:r w:rsidR="0098581C">
        <w:rPr>
          <w:lang w:val="fr-FR"/>
        </w:rPr>
        <w:t>Il</w:t>
      </w:r>
      <w:r w:rsidRPr="00A8041F">
        <w:rPr>
          <w:lang w:val="fr-FR"/>
        </w:rPr>
        <w:t xml:space="preserve"> ne dépasse pas les 30 jours pour tous les SPF et SPP. À titre comparatif, ce délai s’élevait en moyenne à </w:t>
      </w:r>
      <w:r w:rsidR="00346255">
        <w:rPr>
          <w:lang w:val="fr-FR"/>
        </w:rPr>
        <w:t>16</w:t>
      </w:r>
      <w:r w:rsidRPr="00A8041F">
        <w:rPr>
          <w:lang w:val="fr-FR"/>
        </w:rPr>
        <w:t> jours</w:t>
      </w:r>
      <w:r w:rsidR="00DF51E0">
        <w:rPr>
          <w:lang w:val="fr-FR"/>
        </w:rPr>
        <w:t xml:space="preserve"> </w:t>
      </w:r>
      <w:r w:rsidR="00DF51E0" w:rsidRPr="00A8041F">
        <w:rPr>
          <w:lang w:val="fr-FR"/>
        </w:rPr>
        <w:t>en 202</w:t>
      </w:r>
      <w:r w:rsidR="00346255">
        <w:rPr>
          <w:lang w:val="fr-FR"/>
        </w:rPr>
        <w:t>1</w:t>
      </w:r>
      <w:r w:rsidR="00DF51E0" w:rsidRPr="00A8041F">
        <w:rPr>
          <w:lang w:val="fr-FR"/>
        </w:rPr>
        <w:t>,</w:t>
      </w:r>
      <w:r w:rsidRPr="00A8041F">
        <w:rPr>
          <w:lang w:val="fr-FR"/>
        </w:rPr>
        <w:t xml:space="preserve"> et à 2</w:t>
      </w:r>
      <w:r w:rsidR="00346255">
        <w:rPr>
          <w:lang w:val="fr-FR"/>
        </w:rPr>
        <w:t>0</w:t>
      </w:r>
      <w:r w:rsidRPr="00A8041F">
        <w:rPr>
          <w:lang w:val="fr-FR"/>
        </w:rPr>
        <w:t> jours</w:t>
      </w:r>
      <w:r w:rsidR="00DF51E0">
        <w:rPr>
          <w:lang w:val="fr-FR"/>
        </w:rPr>
        <w:t xml:space="preserve"> </w:t>
      </w:r>
      <w:r w:rsidR="00DF51E0" w:rsidRPr="00A8041F">
        <w:rPr>
          <w:lang w:val="fr-FR"/>
        </w:rPr>
        <w:t>en 20</w:t>
      </w:r>
      <w:r w:rsidR="00346255">
        <w:rPr>
          <w:lang w:val="fr-FR"/>
        </w:rPr>
        <w:t>20</w:t>
      </w:r>
      <w:r w:rsidRPr="00A8041F">
        <w:rPr>
          <w:lang w:val="fr-FR"/>
        </w:rPr>
        <w:t xml:space="preserve">. En ce qui concerne le SPF Justice, il convient de noter que ces statistiques ne portent que sur une partie des factures payées. </w:t>
      </w:r>
    </w:p>
    <w:p w14:paraId="6F678B04" w14:textId="1B640867" w:rsidR="003B42A8" w:rsidRPr="00A8041F" w:rsidRDefault="003B42A8" w:rsidP="0097760F">
      <w:pPr>
        <w:rPr>
          <w:lang w:val="fr-FR"/>
        </w:rPr>
      </w:pPr>
      <w:r w:rsidRPr="00A8041F">
        <w:rPr>
          <w:lang w:val="fr-FR"/>
        </w:rPr>
        <w:t>Le délai entre la date de la facture et la date du paiement s’élève à 4</w:t>
      </w:r>
      <w:r w:rsidR="00D43744">
        <w:rPr>
          <w:lang w:val="fr-FR"/>
        </w:rPr>
        <w:t>7</w:t>
      </w:r>
      <w:r w:rsidRPr="00A8041F">
        <w:rPr>
          <w:lang w:val="fr-FR"/>
        </w:rPr>
        <w:t xml:space="preserve"> jours en moyenne. </w:t>
      </w:r>
      <w:r w:rsidR="00B14DAA">
        <w:rPr>
          <w:lang w:val="fr-FR"/>
        </w:rPr>
        <w:t xml:space="preserve">La date de facture est </w:t>
      </w:r>
      <w:r w:rsidRPr="00A8041F">
        <w:rPr>
          <w:lang w:val="fr-FR"/>
        </w:rPr>
        <w:t xml:space="preserve">toutefois </w:t>
      </w:r>
      <w:r w:rsidR="00B14DAA">
        <w:rPr>
          <w:lang w:val="fr-FR"/>
        </w:rPr>
        <w:t>introduite par le fournisseur et n’est pas nécessairement la date de l’envoie de la facture</w:t>
      </w:r>
      <w:r w:rsidRPr="00A8041F">
        <w:rPr>
          <w:lang w:val="fr-FR"/>
        </w:rPr>
        <w:t>.</w:t>
      </w:r>
    </w:p>
    <w:p w14:paraId="1870204F" w14:textId="4478E8E9" w:rsidR="00950FD5" w:rsidRPr="00A8041F" w:rsidRDefault="00950FD5" w:rsidP="00950FD5">
      <w:pPr>
        <w:pStyle w:val="Kop4"/>
        <w:rPr>
          <w:lang w:val="fr-FR"/>
        </w:rPr>
      </w:pPr>
      <w:r w:rsidRPr="00A8041F">
        <w:rPr>
          <w:lang w:val="fr-FR"/>
        </w:rPr>
        <w:t>Tableau</w:t>
      </w:r>
      <w:r w:rsidR="00B14DAA">
        <w:rPr>
          <w:lang w:val="fr-FR"/>
        </w:rPr>
        <w:t xml:space="preserve"> 2</w:t>
      </w:r>
      <w:r w:rsidRPr="00A8041F">
        <w:rPr>
          <w:lang w:val="fr-FR"/>
        </w:rPr>
        <w:t xml:space="preserve"> : </w:t>
      </w:r>
      <w:r w:rsidR="00036A8B">
        <w:rPr>
          <w:lang w:val="fr-FR"/>
        </w:rPr>
        <w:t>D</w:t>
      </w:r>
      <w:r w:rsidRPr="00A8041F">
        <w:rPr>
          <w:lang w:val="fr-FR"/>
        </w:rPr>
        <w:t>élai de paiement par rapport à la date de scan par mois</w:t>
      </w:r>
    </w:p>
    <w:p w14:paraId="58E9CD2D" w14:textId="57B96719" w:rsidR="00950FD5" w:rsidRPr="00A8041F" w:rsidRDefault="00950FD5" w:rsidP="00597D8F">
      <w:pPr>
        <w:rPr>
          <w:lang w:val="fr-FR"/>
        </w:rPr>
      </w:pPr>
      <w:r w:rsidRPr="00A8041F">
        <w:rPr>
          <w:lang w:val="fr-FR"/>
        </w:rPr>
        <w:t>Période : 01/01/202</w:t>
      </w:r>
      <w:r w:rsidR="00346255">
        <w:rPr>
          <w:lang w:val="fr-FR"/>
        </w:rPr>
        <w:t>2</w:t>
      </w:r>
      <w:r w:rsidRPr="00A8041F">
        <w:rPr>
          <w:lang w:val="fr-FR"/>
        </w:rPr>
        <w:t xml:space="preserve"> et </w:t>
      </w:r>
      <w:r w:rsidR="00D862DA">
        <w:rPr>
          <w:lang w:val="fr-FR"/>
        </w:rPr>
        <w:t>3</w:t>
      </w:r>
      <w:r w:rsidR="00062A08">
        <w:rPr>
          <w:lang w:val="fr-FR"/>
        </w:rPr>
        <w:t>0</w:t>
      </w:r>
      <w:r w:rsidRPr="00A8041F">
        <w:rPr>
          <w:lang w:val="fr-FR"/>
        </w:rPr>
        <w:t>/</w:t>
      </w:r>
      <w:r w:rsidR="00346255">
        <w:rPr>
          <w:lang w:val="fr-FR"/>
        </w:rPr>
        <w:t>0</w:t>
      </w:r>
      <w:r w:rsidR="00062A08">
        <w:rPr>
          <w:lang w:val="fr-FR"/>
        </w:rPr>
        <w:t>6</w:t>
      </w:r>
      <w:r w:rsidRPr="00A8041F">
        <w:rPr>
          <w:lang w:val="fr-FR"/>
        </w:rPr>
        <w:t>/202</w:t>
      </w:r>
      <w:r w:rsidR="00346255">
        <w:rPr>
          <w:lang w:val="fr-FR"/>
        </w:rPr>
        <w:t>2</w:t>
      </w:r>
    </w:p>
    <w:tbl>
      <w:tblPr>
        <w:tblStyle w:val="BasicTable"/>
        <w:tblW w:w="0" w:type="auto"/>
        <w:tblLook w:val="04A0" w:firstRow="1" w:lastRow="0" w:firstColumn="1" w:lastColumn="0" w:noHBand="0" w:noVBand="1"/>
      </w:tblPr>
      <w:tblGrid>
        <w:gridCol w:w="2663"/>
        <w:gridCol w:w="561"/>
        <w:gridCol w:w="585"/>
        <w:gridCol w:w="751"/>
        <w:gridCol w:w="600"/>
        <w:gridCol w:w="615"/>
        <w:gridCol w:w="572"/>
      </w:tblGrid>
      <w:tr w:rsidR="001876D9" w:rsidRPr="00A8041F" w14:paraId="20225D17" w14:textId="3F283E19" w:rsidTr="007147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D4D83C2" w14:textId="77777777" w:rsidR="001876D9" w:rsidRPr="00A8041F" w:rsidRDefault="001876D9" w:rsidP="001876D9">
            <w:pPr>
              <w:pStyle w:val="Geenafstand"/>
              <w:rPr>
                <w:lang w:val="fr-FR"/>
              </w:rPr>
            </w:pPr>
          </w:p>
        </w:tc>
        <w:tc>
          <w:tcPr>
            <w:tcW w:w="0" w:type="auto"/>
          </w:tcPr>
          <w:p w14:paraId="41C47142" w14:textId="6C19F628" w:rsidR="001876D9" w:rsidRPr="00A8041F" w:rsidRDefault="001876D9" w:rsidP="001876D9">
            <w:pPr>
              <w:pStyle w:val="Geenafstand"/>
              <w:jc w:val="center"/>
              <w:cnfStyle w:val="100000000000" w:firstRow="1" w:lastRow="0" w:firstColumn="0" w:lastColumn="0" w:oddVBand="0" w:evenVBand="0" w:oddHBand="0" w:evenHBand="0" w:firstRowFirstColumn="0" w:firstRowLastColumn="0" w:lastRowFirstColumn="0" w:lastRowLastColumn="0"/>
              <w:rPr>
                <w:lang w:val="fr-FR"/>
              </w:rPr>
            </w:pPr>
            <w:r w:rsidRPr="00A8041F">
              <w:rPr>
                <w:lang w:val="fr-FR"/>
              </w:rPr>
              <w:t>Jan</w:t>
            </w:r>
          </w:p>
        </w:tc>
        <w:tc>
          <w:tcPr>
            <w:tcW w:w="0" w:type="auto"/>
          </w:tcPr>
          <w:p w14:paraId="2839CB44" w14:textId="1306BD8C" w:rsidR="001876D9" w:rsidRPr="00A8041F" w:rsidRDefault="001876D9" w:rsidP="001876D9">
            <w:pPr>
              <w:pStyle w:val="Geenafstand"/>
              <w:jc w:val="center"/>
              <w:cnfStyle w:val="100000000000" w:firstRow="1" w:lastRow="0" w:firstColumn="0" w:lastColumn="0" w:oddVBand="0" w:evenVBand="0" w:oddHBand="0" w:evenHBand="0" w:firstRowFirstColumn="0" w:firstRowLastColumn="0" w:lastRowFirstColumn="0" w:lastRowLastColumn="0"/>
              <w:rPr>
                <w:lang w:val="fr-FR"/>
              </w:rPr>
            </w:pPr>
            <w:r w:rsidRPr="00A8041F">
              <w:rPr>
                <w:lang w:val="fr-FR"/>
              </w:rPr>
              <w:t>Fév</w:t>
            </w:r>
          </w:p>
        </w:tc>
        <w:tc>
          <w:tcPr>
            <w:tcW w:w="0" w:type="auto"/>
          </w:tcPr>
          <w:p w14:paraId="4C37C4D2" w14:textId="5BFE28D5" w:rsidR="001876D9" w:rsidRPr="00A8041F" w:rsidRDefault="001876D9" w:rsidP="001876D9">
            <w:pPr>
              <w:pStyle w:val="Geenafstand"/>
              <w:jc w:val="center"/>
              <w:cnfStyle w:val="100000000000" w:firstRow="1" w:lastRow="0" w:firstColumn="0" w:lastColumn="0" w:oddVBand="0" w:evenVBand="0" w:oddHBand="0" w:evenHBand="0" w:firstRowFirstColumn="0" w:firstRowLastColumn="0" w:lastRowFirstColumn="0" w:lastRowLastColumn="0"/>
              <w:rPr>
                <w:lang w:val="fr-FR"/>
              </w:rPr>
            </w:pPr>
            <w:r w:rsidRPr="00A8041F">
              <w:rPr>
                <w:lang w:val="fr-FR"/>
              </w:rPr>
              <w:t>Mars</w:t>
            </w:r>
          </w:p>
        </w:tc>
        <w:tc>
          <w:tcPr>
            <w:tcW w:w="0" w:type="auto"/>
          </w:tcPr>
          <w:p w14:paraId="05E317E2" w14:textId="3B643839" w:rsidR="001876D9" w:rsidRPr="00A8041F" w:rsidRDefault="001876D9" w:rsidP="001876D9">
            <w:pPr>
              <w:pStyle w:val="Geenafstand"/>
              <w:jc w:val="center"/>
              <w:cnfStyle w:val="100000000000" w:firstRow="1" w:lastRow="0" w:firstColumn="0" w:lastColumn="0" w:oddVBand="0" w:evenVBand="0" w:oddHBand="0" w:evenHBand="0" w:firstRowFirstColumn="0" w:firstRowLastColumn="0" w:lastRowFirstColumn="0" w:lastRowLastColumn="0"/>
              <w:rPr>
                <w:lang w:val="fr-FR"/>
              </w:rPr>
            </w:pPr>
            <w:r>
              <w:t>Apr</w:t>
            </w:r>
          </w:p>
        </w:tc>
        <w:tc>
          <w:tcPr>
            <w:tcW w:w="0" w:type="auto"/>
          </w:tcPr>
          <w:p w14:paraId="7417E18F" w14:textId="2D2012DB" w:rsidR="001876D9" w:rsidRPr="00A8041F" w:rsidRDefault="001876D9" w:rsidP="001876D9">
            <w:pPr>
              <w:pStyle w:val="Geenafstand"/>
              <w:jc w:val="center"/>
              <w:cnfStyle w:val="100000000000" w:firstRow="1" w:lastRow="0" w:firstColumn="0" w:lastColumn="0" w:oddVBand="0" w:evenVBand="0" w:oddHBand="0" w:evenHBand="0" w:firstRowFirstColumn="0" w:firstRowLastColumn="0" w:lastRowFirstColumn="0" w:lastRowLastColumn="0"/>
              <w:rPr>
                <w:lang w:val="fr-FR"/>
              </w:rPr>
            </w:pPr>
            <w:r>
              <w:t>Mai</w:t>
            </w:r>
          </w:p>
        </w:tc>
        <w:tc>
          <w:tcPr>
            <w:tcW w:w="0" w:type="auto"/>
          </w:tcPr>
          <w:p w14:paraId="53352E73" w14:textId="02B93BB6" w:rsidR="001876D9" w:rsidRPr="00A8041F" w:rsidRDefault="001876D9" w:rsidP="001876D9">
            <w:pPr>
              <w:pStyle w:val="Geenafstand"/>
              <w:jc w:val="center"/>
              <w:cnfStyle w:val="100000000000" w:firstRow="1" w:lastRow="0" w:firstColumn="0" w:lastColumn="0" w:oddVBand="0" w:evenVBand="0" w:oddHBand="0" w:evenHBand="0" w:firstRowFirstColumn="0" w:firstRowLastColumn="0" w:lastRowFirstColumn="0" w:lastRowLastColumn="0"/>
              <w:rPr>
                <w:lang w:val="fr-FR"/>
              </w:rPr>
            </w:pPr>
            <w:r>
              <w:t>Jun</w:t>
            </w:r>
          </w:p>
        </w:tc>
      </w:tr>
      <w:tr w:rsidR="001876D9" w:rsidRPr="00A8041F" w14:paraId="4755255F" w14:textId="3A43C33A" w:rsidTr="00673685">
        <w:tc>
          <w:tcPr>
            <w:cnfStyle w:val="001000000000" w:firstRow="0" w:lastRow="0" w:firstColumn="1" w:lastColumn="0" w:oddVBand="0" w:evenVBand="0" w:oddHBand="0" w:evenHBand="0" w:firstRowFirstColumn="0" w:firstRowLastColumn="0" w:lastRowFirstColumn="0" w:lastRowLastColumn="0"/>
            <w:tcW w:w="0" w:type="auto"/>
            <w:vAlign w:val="top"/>
          </w:tcPr>
          <w:p w14:paraId="615A0CA7" w14:textId="6BB1E476" w:rsidR="001876D9" w:rsidRPr="00A8041F" w:rsidRDefault="001876D9" w:rsidP="001876D9">
            <w:pPr>
              <w:pStyle w:val="Geenafstand"/>
              <w:rPr>
                <w:lang w:val="fr-FR"/>
              </w:rPr>
            </w:pPr>
            <w:r w:rsidRPr="00A8041F">
              <w:rPr>
                <w:lang w:val="fr-FR"/>
              </w:rPr>
              <w:t>BELSPO</w:t>
            </w:r>
          </w:p>
        </w:tc>
        <w:tc>
          <w:tcPr>
            <w:tcW w:w="0" w:type="auto"/>
            <w:vAlign w:val="top"/>
          </w:tcPr>
          <w:p w14:paraId="56A43F94" w14:textId="2797F6D4" w:rsidR="001876D9" w:rsidRPr="00A8041F" w:rsidRDefault="001876D9" w:rsidP="001876D9">
            <w:pPr>
              <w:pStyle w:val="Geenafstand"/>
              <w:jc w:val="center"/>
              <w:cnfStyle w:val="000000000000" w:firstRow="0" w:lastRow="0" w:firstColumn="0" w:lastColumn="0" w:oddVBand="0" w:evenVBand="0" w:oddHBand="0" w:evenHBand="0" w:firstRowFirstColumn="0" w:firstRowLastColumn="0" w:lastRowFirstColumn="0" w:lastRowLastColumn="0"/>
              <w:rPr>
                <w:lang w:val="fr-FR"/>
              </w:rPr>
            </w:pPr>
            <w:r w:rsidRPr="00C648A9">
              <w:t>15</w:t>
            </w:r>
          </w:p>
        </w:tc>
        <w:tc>
          <w:tcPr>
            <w:tcW w:w="0" w:type="auto"/>
            <w:vAlign w:val="top"/>
          </w:tcPr>
          <w:p w14:paraId="7627F398" w14:textId="66DCDC3C" w:rsidR="001876D9" w:rsidRPr="00A8041F" w:rsidRDefault="001876D9" w:rsidP="001876D9">
            <w:pPr>
              <w:pStyle w:val="Geenafstand"/>
              <w:jc w:val="center"/>
              <w:cnfStyle w:val="000000000000" w:firstRow="0" w:lastRow="0" w:firstColumn="0" w:lastColumn="0" w:oddVBand="0" w:evenVBand="0" w:oddHBand="0" w:evenHBand="0" w:firstRowFirstColumn="0" w:firstRowLastColumn="0" w:lastRowFirstColumn="0" w:lastRowLastColumn="0"/>
              <w:rPr>
                <w:lang w:val="fr-FR"/>
              </w:rPr>
            </w:pPr>
            <w:r w:rsidRPr="00C648A9">
              <w:t>6</w:t>
            </w:r>
          </w:p>
        </w:tc>
        <w:tc>
          <w:tcPr>
            <w:tcW w:w="0" w:type="auto"/>
            <w:vAlign w:val="top"/>
          </w:tcPr>
          <w:p w14:paraId="75B8FE75" w14:textId="27F53D51" w:rsidR="001876D9" w:rsidRPr="00A8041F" w:rsidRDefault="001876D9" w:rsidP="001876D9">
            <w:pPr>
              <w:pStyle w:val="Geenafstand"/>
              <w:jc w:val="center"/>
              <w:cnfStyle w:val="000000000000" w:firstRow="0" w:lastRow="0" w:firstColumn="0" w:lastColumn="0" w:oddVBand="0" w:evenVBand="0" w:oddHBand="0" w:evenHBand="0" w:firstRowFirstColumn="0" w:firstRowLastColumn="0" w:lastRowFirstColumn="0" w:lastRowLastColumn="0"/>
              <w:rPr>
                <w:lang w:val="fr-FR"/>
              </w:rPr>
            </w:pPr>
            <w:r w:rsidRPr="00C648A9">
              <w:t>9</w:t>
            </w:r>
          </w:p>
        </w:tc>
        <w:tc>
          <w:tcPr>
            <w:tcW w:w="0" w:type="auto"/>
            <w:vAlign w:val="bottom"/>
          </w:tcPr>
          <w:p w14:paraId="54A54C8E" w14:textId="1734708A" w:rsidR="001876D9" w:rsidRPr="00C648A9" w:rsidRDefault="001876D9" w:rsidP="001876D9">
            <w:pPr>
              <w:pStyle w:val="Geenafstand"/>
              <w:jc w:val="center"/>
              <w:cnfStyle w:val="000000000000" w:firstRow="0" w:lastRow="0" w:firstColumn="0" w:lastColumn="0" w:oddVBand="0" w:evenVBand="0" w:oddHBand="0" w:evenHBand="0" w:firstRowFirstColumn="0" w:firstRowLastColumn="0" w:lastRowFirstColumn="0" w:lastRowLastColumn="0"/>
            </w:pPr>
            <w:r w:rsidRPr="00330C1D">
              <w:t>7</w:t>
            </w:r>
          </w:p>
        </w:tc>
        <w:tc>
          <w:tcPr>
            <w:tcW w:w="0" w:type="auto"/>
            <w:vAlign w:val="bottom"/>
          </w:tcPr>
          <w:p w14:paraId="6476BE2C" w14:textId="51CE132F" w:rsidR="001876D9" w:rsidRPr="00C648A9" w:rsidRDefault="001876D9" w:rsidP="001876D9">
            <w:pPr>
              <w:pStyle w:val="Geenafstand"/>
              <w:jc w:val="center"/>
              <w:cnfStyle w:val="000000000000" w:firstRow="0" w:lastRow="0" w:firstColumn="0" w:lastColumn="0" w:oddVBand="0" w:evenVBand="0" w:oddHBand="0" w:evenHBand="0" w:firstRowFirstColumn="0" w:firstRowLastColumn="0" w:lastRowFirstColumn="0" w:lastRowLastColumn="0"/>
            </w:pPr>
            <w:r w:rsidRPr="00330C1D">
              <w:t>8</w:t>
            </w:r>
          </w:p>
        </w:tc>
        <w:tc>
          <w:tcPr>
            <w:tcW w:w="0" w:type="auto"/>
            <w:vAlign w:val="bottom"/>
          </w:tcPr>
          <w:p w14:paraId="3A6A8EFA" w14:textId="69C2D3A1" w:rsidR="001876D9" w:rsidRPr="00C648A9" w:rsidRDefault="001876D9" w:rsidP="001876D9">
            <w:pPr>
              <w:pStyle w:val="Geenafstand"/>
              <w:jc w:val="center"/>
              <w:cnfStyle w:val="000000000000" w:firstRow="0" w:lastRow="0" w:firstColumn="0" w:lastColumn="0" w:oddVBand="0" w:evenVBand="0" w:oddHBand="0" w:evenHBand="0" w:firstRowFirstColumn="0" w:firstRowLastColumn="0" w:lastRowFirstColumn="0" w:lastRowLastColumn="0"/>
            </w:pPr>
            <w:r w:rsidRPr="00330C1D">
              <w:t>9</w:t>
            </w:r>
          </w:p>
        </w:tc>
      </w:tr>
      <w:tr w:rsidR="001876D9" w:rsidRPr="00A8041F" w14:paraId="231E462C" w14:textId="24FBE35D" w:rsidTr="00673685">
        <w:tc>
          <w:tcPr>
            <w:cnfStyle w:val="001000000000" w:firstRow="0" w:lastRow="0" w:firstColumn="1" w:lastColumn="0" w:oddVBand="0" w:evenVBand="0" w:oddHBand="0" w:evenHBand="0" w:firstRowFirstColumn="0" w:firstRowLastColumn="0" w:lastRowFirstColumn="0" w:lastRowLastColumn="0"/>
            <w:tcW w:w="0" w:type="auto"/>
            <w:vAlign w:val="top"/>
          </w:tcPr>
          <w:p w14:paraId="28878F4B" w14:textId="22966433" w:rsidR="001876D9" w:rsidRPr="00A8041F" w:rsidRDefault="001876D9" w:rsidP="001876D9">
            <w:pPr>
              <w:pStyle w:val="Geenafstand"/>
              <w:rPr>
                <w:lang w:val="fr-FR"/>
              </w:rPr>
            </w:pPr>
            <w:r w:rsidRPr="00A8041F">
              <w:rPr>
                <w:lang w:val="fr-FR"/>
              </w:rPr>
              <w:t xml:space="preserve">Police fédérale </w:t>
            </w:r>
          </w:p>
        </w:tc>
        <w:tc>
          <w:tcPr>
            <w:tcW w:w="0" w:type="auto"/>
            <w:vAlign w:val="top"/>
          </w:tcPr>
          <w:p w14:paraId="73910BA8" w14:textId="16E1EC50" w:rsidR="001876D9" w:rsidRPr="00A8041F" w:rsidRDefault="001876D9" w:rsidP="001876D9">
            <w:pPr>
              <w:pStyle w:val="Geenafstand"/>
              <w:jc w:val="center"/>
              <w:cnfStyle w:val="000000000000" w:firstRow="0" w:lastRow="0" w:firstColumn="0" w:lastColumn="0" w:oddVBand="0" w:evenVBand="0" w:oddHBand="0" w:evenHBand="0" w:firstRowFirstColumn="0" w:firstRowLastColumn="0" w:lastRowFirstColumn="0" w:lastRowLastColumn="0"/>
              <w:rPr>
                <w:lang w:val="fr-FR"/>
              </w:rPr>
            </w:pPr>
            <w:r w:rsidRPr="00C648A9">
              <w:t>16</w:t>
            </w:r>
          </w:p>
        </w:tc>
        <w:tc>
          <w:tcPr>
            <w:tcW w:w="0" w:type="auto"/>
            <w:vAlign w:val="top"/>
          </w:tcPr>
          <w:p w14:paraId="1E791CF3" w14:textId="74F16F21" w:rsidR="001876D9" w:rsidRPr="00A8041F" w:rsidRDefault="001876D9" w:rsidP="001876D9">
            <w:pPr>
              <w:pStyle w:val="Geenafstand"/>
              <w:jc w:val="center"/>
              <w:cnfStyle w:val="000000000000" w:firstRow="0" w:lastRow="0" w:firstColumn="0" w:lastColumn="0" w:oddVBand="0" w:evenVBand="0" w:oddHBand="0" w:evenHBand="0" w:firstRowFirstColumn="0" w:firstRowLastColumn="0" w:lastRowFirstColumn="0" w:lastRowLastColumn="0"/>
              <w:rPr>
                <w:lang w:val="fr-FR"/>
              </w:rPr>
            </w:pPr>
            <w:r w:rsidRPr="00C648A9">
              <w:t>18</w:t>
            </w:r>
          </w:p>
        </w:tc>
        <w:tc>
          <w:tcPr>
            <w:tcW w:w="0" w:type="auto"/>
            <w:vAlign w:val="top"/>
          </w:tcPr>
          <w:p w14:paraId="275865EE" w14:textId="78EEDE3D" w:rsidR="001876D9" w:rsidRPr="00A8041F" w:rsidRDefault="001876D9" w:rsidP="001876D9">
            <w:pPr>
              <w:pStyle w:val="Geenafstand"/>
              <w:jc w:val="center"/>
              <w:cnfStyle w:val="000000000000" w:firstRow="0" w:lastRow="0" w:firstColumn="0" w:lastColumn="0" w:oddVBand="0" w:evenVBand="0" w:oddHBand="0" w:evenHBand="0" w:firstRowFirstColumn="0" w:firstRowLastColumn="0" w:lastRowFirstColumn="0" w:lastRowLastColumn="0"/>
              <w:rPr>
                <w:lang w:val="fr-FR"/>
              </w:rPr>
            </w:pPr>
            <w:r w:rsidRPr="00C648A9">
              <w:t>20</w:t>
            </w:r>
          </w:p>
        </w:tc>
        <w:tc>
          <w:tcPr>
            <w:tcW w:w="0" w:type="auto"/>
            <w:vAlign w:val="bottom"/>
          </w:tcPr>
          <w:p w14:paraId="6E4E38C1" w14:textId="723DB45B" w:rsidR="001876D9" w:rsidRPr="00C648A9" w:rsidRDefault="001876D9" w:rsidP="001876D9">
            <w:pPr>
              <w:pStyle w:val="Geenafstand"/>
              <w:jc w:val="center"/>
              <w:cnfStyle w:val="000000000000" w:firstRow="0" w:lastRow="0" w:firstColumn="0" w:lastColumn="0" w:oddVBand="0" w:evenVBand="0" w:oddHBand="0" w:evenHBand="0" w:firstRowFirstColumn="0" w:firstRowLastColumn="0" w:lastRowFirstColumn="0" w:lastRowLastColumn="0"/>
            </w:pPr>
            <w:r w:rsidRPr="00330C1D">
              <w:t>14</w:t>
            </w:r>
          </w:p>
        </w:tc>
        <w:tc>
          <w:tcPr>
            <w:tcW w:w="0" w:type="auto"/>
            <w:vAlign w:val="bottom"/>
          </w:tcPr>
          <w:p w14:paraId="49E43960" w14:textId="443D0457" w:rsidR="001876D9" w:rsidRPr="00C648A9" w:rsidRDefault="001876D9" w:rsidP="001876D9">
            <w:pPr>
              <w:pStyle w:val="Geenafstand"/>
              <w:jc w:val="center"/>
              <w:cnfStyle w:val="000000000000" w:firstRow="0" w:lastRow="0" w:firstColumn="0" w:lastColumn="0" w:oddVBand="0" w:evenVBand="0" w:oddHBand="0" w:evenHBand="0" w:firstRowFirstColumn="0" w:firstRowLastColumn="0" w:lastRowFirstColumn="0" w:lastRowLastColumn="0"/>
            </w:pPr>
            <w:r w:rsidRPr="00330C1D">
              <w:t>13</w:t>
            </w:r>
          </w:p>
        </w:tc>
        <w:tc>
          <w:tcPr>
            <w:tcW w:w="0" w:type="auto"/>
            <w:vAlign w:val="bottom"/>
          </w:tcPr>
          <w:p w14:paraId="5379FC0E" w14:textId="73DC4C0D" w:rsidR="001876D9" w:rsidRPr="00C648A9" w:rsidRDefault="001876D9" w:rsidP="001876D9">
            <w:pPr>
              <w:pStyle w:val="Geenafstand"/>
              <w:jc w:val="center"/>
              <w:cnfStyle w:val="000000000000" w:firstRow="0" w:lastRow="0" w:firstColumn="0" w:lastColumn="0" w:oddVBand="0" w:evenVBand="0" w:oddHBand="0" w:evenHBand="0" w:firstRowFirstColumn="0" w:firstRowLastColumn="0" w:lastRowFirstColumn="0" w:lastRowLastColumn="0"/>
            </w:pPr>
            <w:r w:rsidRPr="00330C1D">
              <w:t>13</w:t>
            </w:r>
          </w:p>
        </w:tc>
      </w:tr>
      <w:tr w:rsidR="001876D9" w:rsidRPr="00A8041F" w14:paraId="39D58772" w14:textId="09C7794F" w:rsidTr="00673685">
        <w:tc>
          <w:tcPr>
            <w:cnfStyle w:val="001000000000" w:firstRow="0" w:lastRow="0" w:firstColumn="1" w:lastColumn="0" w:oddVBand="0" w:evenVBand="0" w:oddHBand="0" w:evenHBand="0" w:firstRowFirstColumn="0" w:firstRowLastColumn="0" w:lastRowFirstColumn="0" w:lastRowLastColumn="0"/>
            <w:tcW w:w="0" w:type="auto"/>
            <w:vAlign w:val="top"/>
          </w:tcPr>
          <w:p w14:paraId="5B76C453" w14:textId="7E8ED091" w:rsidR="001876D9" w:rsidRPr="00A8041F" w:rsidRDefault="001876D9" w:rsidP="001876D9">
            <w:pPr>
              <w:pStyle w:val="Geenafstand"/>
              <w:rPr>
                <w:lang w:val="fr-FR"/>
              </w:rPr>
            </w:pPr>
            <w:r w:rsidRPr="00A8041F">
              <w:rPr>
                <w:lang w:val="fr-FR"/>
              </w:rPr>
              <w:t>SPF Intérieur</w:t>
            </w:r>
          </w:p>
        </w:tc>
        <w:tc>
          <w:tcPr>
            <w:tcW w:w="0" w:type="auto"/>
            <w:vAlign w:val="top"/>
          </w:tcPr>
          <w:p w14:paraId="765682C9" w14:textId="29E7AF6E" w:rsidR="001876D9" w:rsidRPr="00A8041F" w:rsidRDefault="001876D9" w:rsidP="001876D9">
            <w:pPr>
              <w:pStyle w:val="Geenafstand"/>
              <w:jc w:val="center"/>
              <w:cnfStyle w:val="000000000000" w:firstRow="0" w:lastRow="0" w:firstColumn="0" w:lastColumn="0" w:oddVBand="0" w:evenVBand="0" w:oddHBand="0" w:evenHBand="0" w:firstRowFirstColumn="0" w:firstRowLastColumn="0" w:lastRowFirstColumn="0" w:lastRowLastColumn="0"/>
              <w:rPr>
                <w:lang w:val="fr-FR"/>
              </w:rPr>
            </w:pPr>
            <w:r w:rsidRPr="00C648A9">
              <w:t>23</w:t>
            </w:r>
          </w:p>
        </w:tc>
        <w:tc>
          <w:tcPr>
            <w:tcW w:w="0" w:type="auto"/>
            <w:vAlign w:val="top"/>
          </w:tcPr>
          <w:p w14:paraId="6FE442AA" w14:textId="53DD4E86" w:rsidR="001876D9" w:rsidRPr="00A8041F" w:rsidRDefault="001876D9" w:rsidP="001876D9">
            <w:pPr>
              <w:pStyle w:val="Geenafstand"/>
              <w:jc w:val="center"/>
              <w:cnfStyle w:val="000000000000" w:firstRow="0" w:lastRow="0" w:firstColumn="0" w:lastColumn="0" w:oddVBand="0" w:evenVBand="0" w:oddHBand="0" w:evenHBand="0" w:firstRowFirstColumn="0" w:firstRowLastColumn="0" w:lastRowFirstColumn="0" w:lastRowLastColumn="0"/>
              <w:rPr>
                <w:lang w:val="fr-FR"/>
              </w:rPr>
            </w:pPr>
            <w:r w:rsidRPr="00C648A9">
              <w:t>20</w:t>
            </w:r>
          </w:p>
        </w:tc>
        <w:tc>
          <w:tcPr>
            <w:tcW w:w="0" w:type="auto"/>
            <w:vAlign w:val="top"/>
          </w:tcPr>
          <w:p w14:paraId="22DE7875" w14:textId="46A6B548" w:rsidR="001876D9" w:rsidRPr="00A8041F" w:rsidRDefault="001876D9" w:rsidP="001876D9">
            <w:pPr>
              <w:pStyle w:val="Geenafstand"/>
              <w:jc w:val="center"/>
              <w:cnfStyle w:val="000000000000" w:firstRow="0" w:lastRow="0" w:firstColumn="0" w:lastColumn="0" w:oddVBand="0" w:evenVBand="0" w:oddHBand="0" w:evenHBand="0" w:firstRowFirstColumn="0" w:firstRowLastColumn="0" w:lastRowFirstColumn="0" w:lastRowLastColumn="0"/>
              <w:rPr>
                <w:lang w:val="fr-FR"/>
              </w:rPr>
            </w:pPr>
            <w:r w:rsidRPr="00C648A9">
              <w:t>16</w:t>
            </w:r>
          </w:p>
        </w:tc>
        <w:tc>
          <w:tcPr>
            <w:tcW w:w="0" w:type="auto"/>
            <w:vAlign w:val="bottom"/>
          </w:tcPr>
          <w:p w14:paraId="44858578" w14:textId="655E95BE" w:rsidR="001876D9" w:rsidRPr="00C648A9" w:rsidRDefault="001876D9" w:rsidP="001876D9">
            <w:pPr>
              <w:pStyle w:val="Geenafstand"/>
              <w:jc w:val="center"/>
              <w:cnfStyle w:val="000000000000" w:firstRow="0" w:lastRow="0" w:firstColumn="0" w:lastColumn="0" w:oddVBand="0" w:evenVBand="0" w:oddHBand="0" w:evenHBand="0" w:firstRowFirstColumn="0" w:firstRowLastColumn="0" w:lastRowFirstColumn="0" w:lastRowLastColumn="0"/>
            </w:pPr>
            <w:r w:rsidRPr="00330C1D">
              <w:t>18</w:t>
            </w:r>
          </w:p>
        </w:tc>
        <w:tc>
          <w:tcPr>
            <w:tcW w:w="0" w:type="auto"/>
            <w:vAlign w:val="bottom"/>
          </w:tcPr>
          <w:p w14:paraId="515E2828" w14:textId="78A38026" w:rsidR="001876D9" w:rsidRPr="00C648A9" w:rsidRDefault="001876D9" w:rsidP="001876D9">
            <w:pPr>
              <w:pStyle w:val="Geenafstand"/>
              <w:jc w:val="center"/>
              <w:cnfStyle w:val="000000000000" w:firstRow="0" w:lastRow="0" w:firstColumn="0" w:lastColumn="0" w:oddVBand="0" w:evenVBand="0" w:oddHBand="0" w:evenHBand="0" w:firstRowFirstColumn="0" w:firstRowLastColumn="0" w:lastRowFirstColumn="0" w:lastRowLastColumn="0"/>
            </w:pPr>
            <w:r w:rsidRPr="00330C1D">
              <w:t>15</w:t>
            </w:r>
          </w:p>
        </w:tc>
        <w:tc>
          <w:tcPr>
            <w:tcW w:w="0" w:type="auto"/>
            <w:vAlign w:val="bottom"/>
          </w:tcPr>
          <w:p w14:paraId="24375F06" w14:textId="337821C0" w:rsidR="001876D9" w:rsidRPr="00C648A9" w:rsidRDefault="001876D9" w:rsidP="001876D9">
            <w:pPr>
              <w:pStyle w:val="Geenafstand"/>
              <w:jc w:val="center"/>
              <w:cnfStyle w:val="000000000000" w:firstRow="0" w:lastRow="0" w:firstColumn="0" w:lastColumn="0" w:oddVBand="0" w:evenVBand="0" w:oddHBand="0" w:evenHBand="0" w:firstRowFirstColumn="0" w:firstRowLastColumn="0" w:lastRowFirstColumn="0" w:lastRowLastColumn="0"/>
            </w:pPr>
            <w:r w:rsidRPr="00330C1D">
              <w:t>14</w:t>
            </w:r>
          </w:p>
        </w:tc>
      </w:tr>
      <w:tr w:rsidR="001876D9" w:rsidRPr="00A8041F" w14:paraId="5897ED55" w14:textId="7B453082" w:rsidTr="00673685">
        <w:tc>
          <w:tcPr>
            <w:cnfStyle w:val="001000000000" w:firstRow="0" w:lastRow="0" w:firstColumn="1" w:lastColumn="0" w:oddVBand="0" w:evenVBand="0" w:oddHBand="0" w:evenHBand="0" w:firstRowFirstColumn="0" w:firstRowLastColumn="0" w:lastRowFirstColumn="0" w:lastRowLastColumn="0"/>
            <w:tcW w:w="0" w:type="auto"/>
            <w:vAlign w:val="top"/>
          </w:tcPr>
          <w:p w14:paraId="4FB9E220" w14:textId="47E434ED" w:rsidR="001876D9" w:rsidRPr="00A8041F" w:rsidRDefault="001876D9" w:rsidP="001876D9">
            <w:pPr>
              <w:pStyle w:val="Geenafstand"/>
              <w:rPr>
                <w:lang w:val="fr-FR"/>
              </w:rPr>
            </w:pPr>
            <w:r w:rsidRPr="00A8041F">
              <w:rPr>
                <w:lang w:val="fr-FR"/>
              </w:rPr>
              <w:t>SPF BOSA</w:t>
            </w:r>
          </w:p>
        </w:tc>
        <w:tc>
          <w:tcPr>
            <w:tcW w:w="0" w:type="auto"/>
            <w:vAlign w:val="top"/>
          </w:tcPr>
          <w:p w14:paraId="2924CAEE" w14:textId="0CDC582C" w:rsidR="001876D9" w:rsidRPr="00A8041F" w:rsidRDefault="001876D9" w:rsidP="001876D9">
            <w:pPr>
              <w:pStyle w:val="Geenafstand"/>
              <w:jc w:val="center"/>
              <w:cnfStyle w:val="000000000000" w:firstRow="0" w:lastRow="0" w:firstColumn="0" w:lastColumn="0" w:oddVBand="0" w:evenVBand="0" w:oddHBand="0" w:evenHBand="0" w:firstRowFirstColumn="0" w:firstRowLastColumn="0" w:lastRowFirstColumn="0" w:lastRowLastColumn="0"/>
              <w:rPr>
                <w:lang w:val="fr-FR"/>
              </w:rPr>
            </w:pPr>
            <w:r w:rsidRPr="00C648A9">
              <w:t>14</w:t>
            </w:r>
          </w:p>
        </w:tc>
        <w:tc>
          <w:tcPr>
            <w:tcW w:w="0" w:type="auto"/>
            <w:vAlign w:val="top"/>
          </w:tcPr>
          <w:p w14:paraId="0389D61F" w14:textId="3F667312" w:rsidR="001876D9" w:rsidRPr="00A8041F" w:rsidRDefault="001876D9" w:rsidP="001876D9">
            <w:pPr>
              <w:pStyle w:val="Geenafstand"/>
              <w:jc w:val="center"/>
              <w:cnfStyle w:val="000000000000" w:firstRow="0" w:lastRow="0" w:firstColumn="0" w:lastColumn="0" w:oddVBand="0" w:evenVBand="0" w:oddHBand="0" w:evenHBand="0" w:firstRowFirstColumn="0" w:firstRowLastColumn="0" w:lastRowFirstColumn="0" w:lastRowLastColumn="0"/>
              <w:rPr>
                <w:lang w:val="fr-FR"/>
              </w:rPr>
            </w:pPr>
            <w:r w:rsidRPr="00C648A9">
              <w:t>10</w:t>
            </w:r>
          </w:p>
        </w:tc>
        <w:tc>
          <w:tcPr>
            <w:tcW w:w="0" w:type="auto"/>
            <w:vAlign w:val="top"/>
          </w:tcPr>
          <w:p w14:paraId="59E80594" w14:textId="74201615" w:rsidR="001876D9" w:rsidRPr="00A8041F" w:rsidRDefault="001876D9" w:rsidP="001876D9">
            <w:pPr>
              <w:pStyle w:val="Geenafstand"/>
              <w:jc w:val="center"/>
              <w:cnfStyle w:val="000000000000" w:firstRow="0" w:lastRow="0" w:firstColumn="0" w:lastColumn="0" w:oddVBand="0" w:evenVBand="0" w:oddHBand="0" w:evenHBand="0" w:firstRowFirstColumn="0" w:firstRowLastColumn="0" w:lastRowFirstColumn="0" w:lastRowLastColumn="0"/>
              <w:rPr>
                <w:lang w:val="fr-FR"/>
              </w:rPr>
            </w:pPr>
            <w:r w:rsidRPr="00C648A9">
              <w:t>8</w:t>
            </w:r>
          </w:p>
        </w:tc>
        <w:tc>
          <w:tcPr>
            <w:tcW w:w="0" w:type="auto"/>
            <w:vAlign w:val="bottom"/>
          </w:tcPr>
          <w:p w14:paraId="2862E86F" w14:textId="22B3849D" w:rsidR="001876D9" w:rsidRPr="00C648A9" w:rsidRDefault="001876D9" w:rsidP="001876D9">
            <w:pPr>
              <w:pStyle w:val="Geenafstand"/>
              <w:jc w:val="center"/>
              <w:cnfStyle w:val="000000000000" w:firstRow="0" w:lastRow="0" w:firstColumn="0" w:lastColumn="0" w:oddVBand="0" w:evenVBand="0" w:oddHBand="0" w:evenHBand="0" w:firstRowFirstColumn="0" w:firstRowLastColumn="0" w:lastRowFirstColumn="0" w:lastRowLastColumn="0"/>
            </w:pPr>
            <w:r w:rsidRPr="00330C1D">
              <w:t>9</w:t>
            </w:r>
          </w:p>
        </w:tc>
        <w:tc>
          <w:tcPr>
            <w:tcW w:w="0" w:type="auto"/>
            <w:vAlign w:val="bottom"/>
          </w:tcPr>
          <w:p w14:paraId="757BB1E1" w14:textId="5BF347E9" w:rsidR="001876D9" w:rsidRPr="00C648A9" w:rsidRDefault="001876D9" w:rsidP="001876D9">
            <w:pPr>
              <w:pStyle w:val="Geenafstand"/>
              <w:jc w:val="center"/>
              <w:cnfStyle w:val="000000000000" w:firstRow="0" w:lastRow="0" w:firstColumn="0" w:lastColumn="0" w:oddVBand="0" w:evenVBand="0" w:oddHBand="0" w:evenHBand="0" w:firstRowFirstColumn="0" w:firstRowLastColumn="0" w:lastRowFirstColumn="0" w:lastRowLastColumn="0"/>
            </w:pPr>
            <w:r w:rsidRPr="00330C1D">
              <w:t>9</w:t>
            </w:r>
          </w:p>
        </w:tc>
        <w:tc>
          <w:tcPr>
            <w:tcW w:w="0" w:type="auto"/>
            <w:vAlign w:val="bottom"/>
          </w:tcPr>
          <w:p w14:paraId="2563F07D" w14:textId="1F1A9D6C" w:rsidR="001876D9" w:rsidRPr="00C648A9" w:rsidRDefault="001876D9" w:rsidP="001876D9">
            <w:pPr>
              <w:pStyle w:val="Geenafstand"/>
              <w:jc w:val="center"/>
              <w:cnfStyle w:val="000000000000" w:firstRow="0" w:lastRow="0" w:firstColumn="0" w:lastColumn="0" w:oddVBand="0" w:evenVBand="0" w:oddHBand="0" w:evenHBand="0" w:firstRowFirstColumn="0" w:firstRowLastColumn="0" w:lastRowFirstColumn="0" w:lastRowLastColumn="0"/>
            </w:pPr>
            <w:r w:rsidRPr="00330C1D">
              <w:t>9</w:t>
            </w:r>
          </w:p>
        </w:tc>
      </w:tr>
      <w:tr w:rsidR="001876D9" w:rsidRPr="00A8041F" w14:paraId="1D8C99EA" w14:textId="060DA6AF" w:rsidTr="00673685">
        <w:tc>
          <w:tcPr>
            <w:cnfStyle w:val="001000000000" w:firstRow="0" w:lastRow="0" w:firstColumn="1" w:lastColumn="0" w:oddVBand="0" w:evenVBand="0" w:oddHBand="0" w:evenHBand="0" w:firstRowFirstColumn="0" w:firstRowLastColumn="0" w:lastRowFirstColumn="0" w:lastRowLastColumn="0"/>
            <w:tcW w:w="0" w:type="auto"/>
            <w:vAlign w:val="top"/>
          </w:tcPr>
          <w:p w14:paraId="5778AE85" w14:textId="18CF3175" w:rsidR="001876D9" w:rsidRPr="00A8041F" w:rsidRDefault="001876D9" w:rsidP="001876D9">
            <w:pPr>
              <w:pStyle w:val="Geenafstand"/>
              <w:rPr>
                <w:lang w:val="fr-FR"/>
              </w:rPr>
            </w:pPr>
            <w:r w:rsidRPr="00A8041F">
              <w:rPr>
                <w:lang w:val="fr-FR"/>
              </w:rPr>
              <w:t>SPF Affaires étrangères</w:t>
            </w:r>
          </w:p>
        </w:tc>
        <w:tc>
          <w:tcPr>
            <w:tcW w:w="0" w:type="auto"/>
            <w:vAlign w:val="top"/>
          </w:tcPr>
          <w:p w14:paraId="4BCBF996" w14:textId="1B81C4F1" w:rsidR="001876D9" w:rsidRPr="00A8041F" w:rsidRDefault="001876D9" w:rsidP="001876D9">
            <w:pPr>
              <w:pStyle w:val="Geenafstand"/>
              <w:jc w:val="center"/>
              <w:cnfStyle w:val="000000000000" w:firstRow="0" w:lastRow="0" w:firstColumn="0" w:lastColumn="0" w:oddVBand="0" w:evenVBand="0" w:oddHBand="0" w:evenHBand="0" w:firstRowFirstColumn="0" w:firstRowLastColumn="0" w:lastRowFirstColumn="0" w:lastRowLastColumn="0"/>
              <w:rPr>
                <w:lang w:val="fr-FR"/>
              </w:rPr>
            </w:pPr>
            <w:r w:rsidRPr="00C648A9">
              <w:t>17</w:t>
            </w:r>
          </w:p>
        </w:tc>
        <w:tc>
          <w:tcPr>
            <w:tcW w:w="0" w:type="auto"/>
            <w:vAlign w:val="top"/>
          </w:tcPr>
          <w:p w14:paraId="6B32BE17" w14:textId="5E2D064A" w:rsidR="001876D9" w:rsidRPr="00A8041F" w:rsidRDefault="001876D9" w:rsidP="001876D9">
            <w:pPr>
              <w:pStyle w:val="Geenafstand"/>
              <w:jc w:val="center"/>
              <w:cnfStyle w:val="000000000000" w:firstRow="0" w:lastRow="0" w:firstColumn="0" w:lastColumn="0" w:oddVBand="0" w:evenVBand="0" w:oddHBand="0" w:evenHBand="0" w:firstRowFirstColumn="0" w:firstRowLastColumn="0" w:lastRowFirstColumn="0" w:lastRowLastColumn="0"/>
              <w:rPr>
                <w:lang w:val="fr-FR"/>
              </w:rPr>
            </w:pPr>
            <w:r w:rsidRPr="00C648A9">
              <w:t>11</w:t>
            </w:r>
          </w:p>
        </w:tc>
        <w:tc>
          <w:tcPr>
            <w:tcW w:w="0" w:type="auto"/>
            <w:vAlign w:val="top"/>
          </w:tcPr>
          <w:p w14:paraId="14B366F4" w14:textId="2C926ABB" w:rsidR="001876D9" w:rsidRPr="00A8041F" w:rsidRDefault="001876D9" w:rsidP="001876D9">
            <w:pPr>
              <w:pStyle w:val="Geenafstand"/>
              <w:jc w:val="center"/>
              <w:cnfStyle w:val="000000000000" w:firstRow="0" w:lastRow="0" w:firstColumn="0" w:lastColumn="0" w:oddVBand="0" w:evenVBand="0" w:oddHBand="0" w:evenHBand="0" w:firstRowFirstColumn="0" w:firstRowLastColumn="0" w:lastRowFirstColumn="0" w:lastRowLastColumn="0"/>
              <w:rPr>
                <w:lang w:val="fr-FR"/>
              </w:rPr>
            </w:pPr>
            <w:r w:rsidRPr="00C648A9">
              <w:t>12</w:t>
            </w:r>
          </w:p>
        </w:tc>
        <w:tc>
          <w:tcPr>
            <w:tcW w:w="0" w:type="auto"/>
            <w:vAlign w:val="bottom"/>
          </w:tcPr>
          <w:p w14:paraId="54C02EB0" w14:textId="5B1601AA" w:rsidR="001876D9" w:rsidRPr="00C648A9" w:rsidRDefault="001876D9" w:rsidP="001876D9">
            <w:pPr>
              <w:pStyle w:val="Geenafstand"/>
              <w:jc w:val="center"/>
              <w:cnfStyle w:val="000000000000" w:firstRow="0" w:lastRow="0" w:firstColumn="0" w:lastColumn="0" w:oddVBand="0" w:evenVBand="0" w:oddHBand="0" w:evenHBand="0" w:firstRowFirstColumn="0" w:firstRowLastColumn="0" w:lastRowFirstColumn="0" w:lastRowLastColumn="0"/>
            </w:pPr>
            <w:r w:rsidRPr="00330C1D">
              <w:t>11</w:t>
            </w:r>
          </w:p>
        </w:tc>
        <w:tc>
          <w:tcPr>
            <w:tcW w:w="0" w:type="auto"/>
            <w:vAlign w:val="bottom"/>
          </w:tcPr>
          <w:p w14:paraId="6BCBE8BB" w14:textId="764AB0E5" w:rsidR="001876D9" w:rsidRPr="00C648A9" w:rsidRDefault="001876D9" w:rsidP="001876D9">
            <w:pPr>
              <w:pStyle w:val="Geenafstand"/>
              <w:jc w:val="center"/>
              <w:cnfStyle w:val="000000000000" w:firstRow="0" w:lastRow="0" w:firstColumn="0" w:lastColumn="0" w:oddVBand="0" w:evenVBand="0" w:oddHBand="0" w:evenHBand="0" w:firstRowFirstColumn="0" w:firstRowLastColumn="0" w:lastRowFirstColumn="0" w:lastRowLastColumn="0"/>
            </w:pPr>
            <w:r w:rsidRPr="00330C1D">
              <w:t>13</w:t>
            </w:r>
          </w:p>
        </w:tc>
        <w:tc>
          <w:tcPr>
            <w:tcW w:w="0" w:type="auto"/>
            <w:vAlign w:val="bottom"/>
          </w:tcPr>
          <w:p w14:paraId="08AC4320" w14:textId="2A712EBD" w:rsidR="001876D9" w:rsidRPr="00C648A9" w:rsidRDefault="001876D9" w:rsidP="001876D9">
            <w:pPr>
              <w:pStyle w:val="Geenafstand"/>
              <w:jc w:val="center"/>
              <w:cnfStyle w:val="000000000000" w:firstRow="0" w:lastRow="0" w:firstColumn="0" w:lastColumn="0" w:oddVBand="0" w:evenVBand="0" w:oddHBand="0" w:evenHBand="0" w:firstRowFirstColumn="0" w:firstRowLastColumn="0" w:lastRowFirstColumn="0" w:lastRowLastColumn="0"/>
            </w:pPr>
            <w:r w:rsidRPr="00330C1D">
              <w:t>11</w:t>
            </w:r>
          </w:p>
        </w:tc>
      </w:tr>
      <w:tr w:rsidR="001876D9" w:rsidRPr="00A8041F" w14:paraId="7B022E1F" w14:textId="5397D966" w:rsidTr="00673685">
        <w:tc>
          <w:tcPr>
            <w:cnfStyle w:val="001000000000" w:firstRow="0" w:lastRow="0" w:firstColumn="1" w:lastColumn="0" w:oddVBand="0" w:evenVBand="0" w:oddHBand="0" w:evenHBand="0" w:firstRowFirstColumn="0" w:firstRowLastColumn="0" w:lastRowFirstColumn="0" w:lastRowLastColumn="0"/>
            <w:tcW w:w="0" w:type="auto"/>
            <w:vAlign w:val="top"/>
          </w:tcPr>
          <w:p w14:paraId="35F97535" w14:textId="5FA9024F" w:rsidR="001876D9" w:rsidRPr="00A8041F" w:rsidRDefault="001876D9" w:rsidP="001876D9">
            <w:pPr>
              <w:pStyle w:val="Geenafstand"/>
              <w:rPr>
                <w:lang w:val="fr-FR"/>
              </w:rPr>
            </w:pPr>
            <w:r w:rsidRPr="00A8041F">
              <w:rPr>
                <w:lang w:val="fr-FR"/>
              </w:rPr>
              <w:t>SPF Économie</w:t>
            </w:r>
          </w:p>
        </w:tc>
        <w:tc>
          <w:tcPr>
            <w:tcW w:w="0" w:type="auto"/>
            <w:vAlign w:val="top"/>
          </w:tcPr>
          <w:p w14:paraId="3E124BDE" w14:textId="334CD76B" w:rsidR="001876D9" w:rsidRPr="00A8041F" w:rsidRDefault="001876D9" w:rsidP="001876D9">
            <w:pPr>
              <w:pStyle w:val="Geenafstand"/>
              <w:jc w:val="center"/>
              <w:cnfStyle w:val="000000000000" w:firstRow="0" w:lastRow="0" w:firstColumn="0" w:lastColumn="0" w:oddVBand="0" w:evenVBand="0" w:oddHBand="0" w:evenHBand="0" w:firstRowFirstColumn="0" w:firstRowLastColumn="0" w:lastRowFirstColumn="0" w:lastRowLastColumn="0"/>
              <w:rPr>
                <w:lang w:val="fr-FR"/>
              </w:rPr>
            </w:pPr>
            <w:r w:rsidRPr="00C648A9">
              <w:t>21</w:t>
            </w:r>
          </w:p>
        </w:tc>
        <w:tc>
          <w:tcPr>
            <w:tcW w:w="0" w:type="auto"/>
            <w:vAlign w:val="top"/>
          </w:tcPr>
          <w:p w14:paraId="5EF566C7" w14:textId="25F7C6AF" w:rsidR="001876D9" w:rsidRPr="00A8041F" w:rsidRDefault="001876D9" w:rsidP="001876D9">
            <w:pPr>
              <w:pStyle w:val="Geenafstand"/>
              <w:jc w:val="center"/>
              <w:cnfStyle w:val="000000000000" w:firstRow="0" w:lastRow="0" w:firstColumn="0" w:lastColumn="0" w:oddVBand="0" w:evenVBand="0" w:oddHBand="0" w:evenHBand="0" w:firstRowFirstColumn="0" w:firstRowLastColumn="0" w:lastRowFirstColumn="0" w:lastRowLastColumn="0"/>
              <w:rPr>
                <w:lang w:val="fr-FR"/>
              </w:rPr>
            </w:pPr>
            <w:r w:rsidRPr="00C648A9">
              <w:t>16</w:t>
            </w:r>
          </w:p>
        </w:tc>
        <w:tc>
          <w:tcPr>
            <w:tcW w:w="0" w:type="auto"/>
            <w:vAlign w:val="top"/>
          </w:tcPr>
          <w:p w14:paraId="0774C60D" w14:textId="38C294BF" w:rsidR="001876D9" w:rsidRPr="00A8041F" w:rsidRDefault="001876D9" w:rsidP="001876D9">
            <w:pPr>
              <w:pStyle w:val="Geenafstand"/>
              <w:jc w:val="center"/>
              <w:cnfStyle w:val="000000000000" w:firstRow="0" w:lastRow="0" w:firstColumn="0" w:lastColumn="0" w:oddVBand="0" w:evenVBand="0" w:oddHBand="0" w:evenHBand="0" w:firstRowFirstColumn="0" w:firstRowLastColumn="0" w:lastRowFirstColumn="0" w:lastRowLastColumn="0"/>
              <w:rPr>
                <w:lang w:val="fr-FR"/>
              </w:rPr>
            </w:pPr>
            <w:r w:rsidRPr="00C648A9">
              <w:t>14</w:t>
            </w:r>
          </w:p>
        </w:tc>
        <w:tc>
          <w:tcPr>
            <w:tcW w:w="0" w:type="auto"/>
            <w:vAlign w:val="bottom"/>
          </w:tcPr>
          <w:p w14:paraId="037BEF6E" w14:textId="531AD1B7" w:rsidR="001876D9" w:rsidRPr="00C648A9" w:rsidRDefault="001876D9" w:rsidP="001876D9">
            <w:pPr>
              <w:pStyle w:val="Geenafstand"/>
              <w:jc w:val="center"/>
              <w:cnfStyle w:val="000000000000" w:firstRow="0" w:lastRow="0" w:firstColumn="0" w:lastColumn="0" w:oddVBand="0" w:evenVBand="0" w:oddHBand="0" w:evenHBand="0" w:firstRowFirstColumn="0" w:firstRowLastColumn="0" w:lastRowFirstColumn="0" w:lastRowLastColumn="0"/>
            </w:pPr>
            <w:r w:rsidRPr="00330C1D">
              <w:t>14</w:t>
            </w:r>
          </w:p>
        </w:tc>
        <w:tc>
          <w:tcPr>
            <w:tcW w:w="0" w:type="auto"/>
            <w:vAlign w:val="bottom"/>
          </w:tcPr>
          <w:p w14:paraId="449D0C7A" w14:textId="46EC3724" w:rsidR="001876D9" w:rsidRPr="00C648A9" w:rsidRDefault="001876D9" w:rsidP="001876D9">
            <w:pPr>
              <w:pStyle w:val="Geenafstand"/>
              <w:jc w:val="center"/>
              <w:cnfStyle w:val="000000000000" w:firstRow="0" w:lastRow="0" w:firstColumn="0" w:lastColumn="0" w:oddVBand="0" w:evenVBand="0" w:oddHBand="0" w:evenHBand="0" w:firstRowFirstColumn="0" w:firstRowLastColumn="0" w:lastRowFirstColumn="0" w:lastRowLastColumn="0"/>
            </w:pPr>
            <w:r w:rsidRPr="00330C1D">
              <w:t>14</w:t>
            </w:r>
          </w:p>
        </w:tc>
        <w:tc>
          <w:tcPr>
            <w:tcW w:w="0" w:type="auto"/>
            <w:vAlign w:val="bottom"/>
          </w:tcPr>
          <w:p w14:paraId="57F48307" w14:textId="6F0C3BDD" w:rsidR="001876D9" w:rsidRPr="00C648A9" w:rsidRDefault="001876D9" w:rsidP="001876D9">
            <w:pPr>
              <w:pStyle w:val="Geenafstand"/>
              <w:jc w:val="center"/>
              <w:cnfStyle w:val="000000000000" w:firstRow="0" w:lastRow="0" w:firstColumn="0" w:lastColumn="0" w:oddVBand="0" w:evenVBand="0" w:oddHBand="0" w:evenHBand="0" w:firstRowFirstColumn="0" w:firstRowLastColumn="0" w:lastRowFirstColumn="0" w:lastRowLastColumn="0"/>
            </w:pPr>
            <w:r w:rsidRPr="00330C1D">
              <w:t>17</w:t>
            </w:r>
          </w:p>
        </w:tc>
      </w:tr>
      <w:tr w:rsidR="001876D9" w:rsidRPr="00A8041F" w14:paraId="1ABF9F0F" w14:textId="5A539429" w:rsidTr="00673685">
        <w:tc>
          <w:tcPr>
            <w:cnfStyle w:val="001000000000" w:firstRow="0" w:lastRow="0" w:firstColumn="1" w:lastColumn="0" w:oddVBand="0" w:evenVBand="0" w:oddHBand="0" w:evenHBand="0" w:firstRowFirstColumn="0" w:firstRowLastColumn="0" w:lastRowFirstColumn="0" w:lastRowLastColumn="0"/>
            <w:tcW w:w="0" w:type="auto"/>
            <w:vAlign w:val="top"/>
          </w:tcPr>
          <w:p w14:paraId="1DB056F9" w14:textId="71CA825D" w:rsidR="001876D9" w:rsidRPr="00A8041F" w:rsidRDefault="001876D9" w:rsidP="001876D9">
            <w:pPr>
              <w:pStyle w:val="Geenafstand"/>
              <w:rPr>
                <w:lang w:val="fr-FR"/>
              </w:rPr>
            </w:pPr>
            <w:r w:rsidRPr="00A8041F">
              <w:rPr>
                <w:lang w:val="fr-FR"/>
              </w:rPr>
              <w:t xml:space="preserve">SPF Santé </w:t>
            </w:r>
          </w:p>
        </w:tc>
        <w:tc>
          <w:tcPr>
            <w:tcW w:w="0" w:type="auto"/>
            <w:vAlign w:val="top"/>
          </w:tcPr>
          <w:p w14:paraId="11053DBD" w14:textId="4271EAE9" w:rsidR="001876D9" w:rsidRPr="00A8041F" w:rsidRDefault="001876D9" w:rsidP="001876D9">
            <w:pPr>
              <w:pStyle w:val="Geenafstand"/>
              <w:jc w:val="center"/>
              <w:cnfStyle w:val="000000000000" w:firstRow="0" w:lastRow="0" w:firstColumn="0" w:lastColumn="0" w:oddVBand="0" w:evenVBand="0" w:oddHBand="0" w:evenHBand="0" w:firstRowFirstColumn="0" w:firstRowLastColumn="0" w:lastRowFirstColumn="0" w:lastRowLastColumn="0"/>
              <w:rPr>
                <w:lang w:val="fr-FR"/>
              </w:rPr>
            </w:pPr>
            <w:r w:rsidRPr="00C648A9">
              <w:t>40</w:t>
            </w:r>
          </w:p>
        </w:tc>
        <w:tc>
          <w:tcPr>
            <w:tcW w:w="0" w:type="auto"/>
            <w:vAlign w:val="top"/>
          </w:tcPr>
          <w:p w14:paraId="111E46BE" w14:textId="6D0F3CDD" w:rsidR="001876D9" w:rsidRPr="00A8041F" w:rsidRDefault="001876D9" w:rsidP="001876D9">
            <w:pPr>
              <w:pStyle w:val="Geenafstand"/>
              <w:jc w:val="center"/>
              <w:cnfStyle w:val="000000000000" w:firstRow="0" w:lastRow="0" w:firstColumn="0" w:lastColumn="0" w:oddVBand="0" w:evenVBand="0" w:oddHBand="0" w:evenHBand="0" w:firstRowFirstColumn="0" w:firstRowLastColumn="0" w:lastRowFirstColumn="0" w:lastRowLastColumn="0"/>
              <w:rPr>
                <w:lang w:val="fr-FR"/>
              </w:rPr>
            </w:pPr>
            <w:r w:rsidRPr="00C648A9">
              <w:t>31</w:t>
            </w:r>
          </w:p>
        </w:tc>
        <w:tc>
          <w:tcPr>
            <w:tcW w:w="0" w:type="auto"/>
            <w:vAlign w:val="top"/>
          </w:tcPr>
          <w:p w14:paraId="518C9AA6" w14:textId="762F3F65" w:rsidR="001876D9" w:rsidRPr="00A8041F" w:rsidRDefault="001876D9" w:rsidP="001876D9">
            <w:pPr>
              <w:pStyle w:val="Geenafstand"/>
              <w:jc w:val="center"/>
              <w:cnfStyle w:val="000000000000" w:firstRow="0" w:lastRow="0" w:firstColumn="0" w:lastColumn="0" w:oddVBand="0" w:evenVBand="0" w:oddHBand="0" w:evenHBand="0" w:firstRowFirstColumn="0" w:firstRowLastColumn="0" w:lastRowFirstColumn="0" w:lastRowLastColumn="0"/>
              <w:rPr>
                <w:lang w:val="fr-FR"/>
              </w:rPr>
            </w:pPr>
            <w:r w:rsidRPr="00C648A9">
              <w:t>33</w:t>
            </w:r>
          </w:p>
        </w:tc>
        <w:tc>
          <w:tcPr>
            <w:tcW w:w="0" w:type="auto"/>
            <w:vAlign w:val="bottom"/>
          </w:tcPr>
          <w:p w14:paraId="5367C2F5" w14:textId="43617AAE" w:rsidR="001876D9" w:rsidRPr="00C648A9" w:rsidRDefault="001876D9" w:rsidP="001876D9">
            <w:pPr>
              <w:pStyle w:val="Geenafstand"/>
              <w:jc w:val="center"/>
              <w:cnfStyle w:val="000000000000" w:firstRow="0" w:lastRow="0" w:firstColumn="0" w:lastColumn="0" w:oddVBand="0" w:evenVBand="0" w:oddHBand="0" w:evenHBand="0" w:firstRowFirstColumn="0" w:firstRowLastColumn="0" w:lastRowFirstColumn="0" w:lastRowLastColumn="0"/>
            </w:pPr>
            <w:r w:rsidRPr="00330C1D">
              <w:t>27</w:t>
            </w:r>
          </w:p>
        </w:tc>
        <w:tc>
          <w:tcPr>
            <w:tcW w:w="0" w:type="auto"/>
            <w:vAlign w:val="bottom"/>
          </w:tcPr>
          <w:p w14:paraId="4EAF1795" w14:textId="0DAC468C" w:rsidR="001876D9" w:rsidRPr="00C648A9" w:rsidRDefault="001876D9" w:rsidP="001876D9">
            <w:pPr>
              <w:pStyle w:val="Geenafstand"/>
              <w:jc w:val="center"/>
              <w:cnfStyle w:val="000000000000" w:firstRow="0" w:lastRow="0" w:firstColumn="0" w:lastColumn="0" w:oddVBand="0" w:evenVBand="0" w:oddHBand="0" w:evenHBand="0" w:firstRowFirstColumn="0" w:firstRowLastColumn="0" w:lastRowFirstColumn="0" w:lastRowLastColumn="0"/>
            </w:pPr>
            <w:r w:rsidRPr="00330C1D">
              <w:t>30</w:t>
            </w:r>
          </w:p>
        </w:tc>
        <w:tc>
          <w:tcPr>
            <w:tcW w:w="0" w:type="auto"/>
            <w:vAlign w:val="bottom"/>
          </w:tcPr>
          <w:p w14:paraId="2E287C28" w14:textId="251B1A77" w:rsidR="001876D9" w:rsidRPr="00C648A9" w:rsidRDefault="001876D9" w:rsidP="001876D9">
            <w:pPr>
              <w:pStyle w:val="Geenafstand"/>
              <w:jc w:val="center"/>
              <w:cnfStyle w:val="000000000000" w:firstRow="0" w:lastRow="0" w:firstColumn="0" w:lastColumn="0" w:oddVBand="0" w:evenVBand="0" w:oddHBand="0" w:evenHBand="0" w:firstRowFirstColumn="0" w:firstRowLastColumn="0" w:lastRowFirstColumn="0" w:lastRowLastColumn="0"/>
            </w:pPr>
            <w:r w:rsidRPr="00330C1D">
              <w:t>31</w:t>
            </w:r>
          </w:p>
        </w:tc>
      </w:tr>
      <w:tr w:rsidR="001876D9" w:rsidRPr="00A8041F" w14:paraId="63E2E273" w14:textId="622FD9E1" w:rsidTr="00673685">
        <w:tc>
          <w:tcPr>
            <w:cnfStyle w:val="001000000000" w:firstRow="0" w:lastRow="0" w:firstColumn="1" w:lastColumn="0" w:oddVBand="0" w:evenVBand="0" w:oddHBand="0" w:evenHBand="0" w:firstRowFirstColumn="0" w:firstRowLastColumn="0" w:lastRowFirstColumn="0" w:lastRowLastColumn="0"/>
            <w:tcW w:w="0" w:type="auto"/>
            <w:vAlign w:val="top"/>
          </w:tcPr>
          <w:p w14:paraId="54E96306" w14:textId="12164E57" w:rsidR="001876D9" w:rsidRPr="00A8041F" w:rsidRDefault="001876D9" w:rsidP="001876D9">
            <w:pPr>
              <w:pStyle w:val="Geenafstand"/>
              <w:rPr>
                <w:lang w:val="fr-FR"/>
              </w:rPr>
            </w:pPr>
            <w:r w:rsidRPr="00A8041F">
              <w:rPr>
                <w:lang w:val="fr-FR"/>
              </w:rPr>
              <w:t xml:space="preserve">SPF Justice </w:t>
            </w:r>
          </w:p>
        </w:tc>
        <w:tc>
          <w:tcPr>
            <w:tcW w:w="0" w:type="auto"/>
            <w:vAlign w:val="top"/>
          </w:tcPr>
          <w:p w14:paraId="1888B36D" w14:textId="4DCD026C" w:rsidR="001876D9" w:rsidRPr="00A8041F" w:rsidRDefault="001876D9" w:rsidP="001876D9">
            <w:pPr>
              <w:pStyle w:val="Geenafstand"/>
              <w:jc w:val="center"/>
              <w:cnfStyle w:val="000000000000" w:firstRow="0" w:lastRow="0" w:firstColumn="0" w:lastColumn="0" w:oddVBand="0" w:evenVBand="0" w:oddHBand="0" w:evenHBand="0" w:firstRowFirstColumn="0" w:firstRowLastColumn="0" w:lastRowFirstColumn="0" w:lastRowLastColumn="0"/>
              <w:rPr>
                <w:lang w:val="fr-FR"/>
              </w:rPr>
            </w:pPr>
            <w:r w:rsidRPr="00C648A9">
              <w:t>40</w:t>
            </w:r>
          </w:p>
        </w:tc>
        <w:tc>
          <w:tcPr>
            <w:tcW w:w="0" w:type="auto"/>
            <w:vAlign w:val="top"/>
          </w:tcPr>
          <w:p w14:paraId="4F5812B2" w14:textId="338A9441" w:rsidR="001876D9" w:rsidRPr="00A8041F" w:rsidRDefault="001876D9" w:rsidP="001876D9">
            <w:pPr>
              <w:pStyle w:val="Geenafstand"/>
              <w:jc w:val="center"/>
              <w:cnfStyle w:val="000000000000" w:firstRow="0" w:lastRow="0" w:firstColumn="0" w:lastColumn="0" w:oddVBand="0" w:evenVBand="0" w:oddHBand="0" w:evenHBand="0" w:firstRowFirstColumn="0" w:firstRowLastColumn="0" w:lastRowFirstColumn="0" w:lastRowLastColumn="0"/>
              <w:rPr>
                <w:lang w:val="fr-FR"/>
              </w:rPr>
            </w:pPr>
            <w:r w:rsidRPr="00C648A9">
              <w:t>29</w:t>
            </w:r>
          </w:p>
        </w:tc>
        <w:tc>
          <w:tcPr>
            <w:tcW w:w="0" w:type="auto"/>
            <w:vAlign w:val="top"/>
          </w:tcPr>
          <w:p w14:paraId="00D2160D" w14:textId="7F5F27DA" w:rsidR="001876D9" w:rsidRPr="00A8041F" w:rsidRDefault="001876D9" w:rsidP="001876D9">
            <w:pPr>
              <w:pStyle w:val="Geenafstand"/>
              <w:jc w:val="center"/>
              <w:cnfStyle w:val="000000000000" w:firstRow="0" w:lastRow="0" w:firstColumn="0" w:lastColumn="0" w:oddVBand="0" w:evenVBand="0" w:oddHBand="0" w:evenHBand="0" w:firstRowFirstColumn="0" w:firstRowLastColumn="0" w:lastRowFirstColumn="0" w:lastRowLastColumn="0"/>
              <w:rPr>
                <w:lang w:val="fr-FR"/>
              </w:rPr>
            </w:pPr>
            <w:r w:rsidRPr="00C648A9">
              <w:t>28</w:t>
            </w:r>
          </w:p>
        </w:tc>
        <w:tc>
          <w:tcPr>
            <w:tcW w:w="0" w:type="auto"/>
            <w:vAlign w:val="bottom"/>
          </w:tcPr>
          <w:p w14:paraId="60C6744A" w14:textId="1BD30426" w:rsidR="001876D9" w:rsidRPr="00C648A9" w:rsidRDefault="001876D9" w:rsidP="001876D9">
            <w:pPr>
              <w:pStyle w:val="Geenafstand"/>
              <w:jc w:val="center"/>
              <w:cnfStyle w:val="000000000000" w:firstRow="0" w:lastRow="0" w:firstColumn="0" w:lastColumn="0" w:oddVBand="0" w:evenVBand="0" w:oddHBand="0" w:evenHBand="0" w:firstRowFirstColumn="0" w:firstRowLastColumn="0" w:lastRowFirstColumn="0" w:lastRowLastColumn="0"/>
            </w:pPr>
            <w:r w:rsidRPr="00330C1D">
              <w:t>30</w:t>
            </w:r>
          </w:p>
        </w:tc>
        <w:tc>
          <w:tcPr>
            <w:tcW w:w="0" w:type="auto"/>
            <w:vAlign w:val="bottom"/>
          </w:tcPr>
          <w:p w14:paraId="386815C6" w14:textId="0952F322" w:rsidR="001876D9" w:rsidRPr="00C648A9" w:rsidRDefault="001876D9" w:rsidP="001876D9">
            <w:pPr>
              <w:pStyle w:val="Geenafstand"/>
              <w:jc w:val="center"/>
              <w:cnfStyle w:val="000000000000" w:firstRow="0" w:lastRow="0" w:firstColumn="0" w:lastColumn="0" w:oddVBand="0" w:evenVBand="0" w:oddHBand="0" w:evenHBand="0" w:firstRowFirstColumn="0" w:firstRowLastColumn="0" w:lastRowFirstColumn="0" w:lastRowLastColumn="0"/>
            </w:pPr>
            <w:r w:rsidRPr="00330C1D">
              <w:t>30</w:t>
            </w:r>
          </w:p>
        </w:tc>
        <w:tc>
          <w:tcPr>
            <w:tcW w:w="0" w:type="auto"/>
            <w:vAlign w:val="bottom"/>
          </w:tcPr>
          <w:p w14:paraId="0C180D12" w14:textId="4E462436" w:rsidR="001876D9" w:rsidRPr="00C648A9" w:rsidRDefault="001876D9" w:rsidP="001876D9">
            <w:pPr>
              <w:pStyle w:val="Geenafstand"/>
              <w:jc w:val="center"/>
              <w:cnfStyle w:val="000000000000" w:firstRow="0" w:lastRow="0" w:firstColumn="0" w:lastColumn="0" w:oddVBand="0" w:evenVBand="0" w:oddHBand="0" w:evenHBand="0" w:firstRowFirstColumn="0" w:firstRowLastColumn="0" w:lastRowFirstColumn="0" w:lastRowLastColumn="0"/>
            </w:pPr>
            <w:r w:rsidRPr="00330C1D">
              <w:t>31</w:t>
            </w:r>
          </w:p>
        </w:tc>
      </w:tr>
      <w:tr w:rsidR="001876D9" w:rsidRPr="00A8041F" w14:paraId="26A085B3" w14:textId="11BA319A" w:rsidTr="00673685">
        <w:tc>
          <w:tcPr>
            <w:cnfStyle w:val="001000000000" w:firstRow="0" w:lastRow="0" w:firstColumn="1" w:lastColumn="0" w:oddVBand="0" w:evenVBand="0" w:oddHBand="0" w:evenHBand="0" w:firstRowFirstColumn="0" w:firstRowLastColumn="0" w:lastRowFirstColumn="0" w:lastRowLastColumn="0"/>
            <w:tcW w:w="0" w:type="auto"/>
            <w:vAlign w:val="top"/>
          </w:tcPr>
          <w:p w14:paraId="275CBA25" w14:textId="7735DCB5" w:rsidR="001876D9" w:rsidRPr="00A8041F" w:rsidRDefault="001876D9" w:rsidP="001876D9">
            <w:pPr>
              <w:pStyle w:val="Geenafstand"/>
              <w:rPr>
                <w:lang w:val="fr-FR"/>
              </w:rPr>
            </w:pPr>
            <w:r w:rsidRPr="00A8041F">
              <w:rPr>
                <w:lang w:val="fr-FR"/>
              </w:rPr>
              <w:t>SPF Chancellerie</w:t>
            </w:r>
          </w:p>
        </w:tc>
        <w:tc>
          <w:tcPr>
            <w:tcW w:w="0" w:type="auto"/>
            <w:vAlign w:val="top"/>
          </w:tcPr>
          <w:p w14:paraId="2B5DF7A8" w14:textId="1D9B6D1C" w:rsidR="001876D9" w:rsidRPr="00A8041F" w:rsidRDefault="001876D9" w:rsidP="001876D9">
            <w:pPr>
              <w:pStyle w:val="Geenafstand"/>
              <w:jc w:val="center"/>
              <w:cnfStyle w:val="000000000000" w:firstRow="0" w:lastRow="0" w:firstColumn="0" w:lastColumn="0" w:oddVBand="0" w:evenVBand="0" w:oddHBand="0" w:evenHBand="0" w:firstRowFirstColumn="0" w:firstRowLastColumn="0" w:lastRowFirstColumn="0" w:lastRowLastColumn="0"/>
              <w:rPr>
                <w:lang w:val="fr-FR"/>
              </w:rPr>
            </w:pPr>
            <w:r w:rsidRPr="00C648A9">
              <w:t>68</w:t>
            </w:r>
          </w:p>
        </w:tc>
        <w:tc>
          <w:tcPr>
            <w:tcW w:w="0" w:type="auto"/>
            <w:vAlign w:val="top"/>
          </w:tcPr>
          <w:p w14:paraId="4EF2B62E" w14:textId="47187D54" w:rsidR="001876D9" w:rsidRPr="00A8041F" w:rsidRDefault="001876D9" w:rsidP="001876D9">
            <w:pPr>
              <w:pStyle w:val="Geenafstand"/>
              <w:jc w:val="center"/>
              <w:cnfStyle w:val="000000000000" w:firstRow="0" w:lastRow="0" w:firstColumn="0" w:lastColumn="0" w:oddVBand="0" w:evenVBand="0" w:oddHBand="0" w:evenHBand="0" w:firstRowFirstColumn="0" w:firstRowLastColumn="0" w:lastRowFirstColumn="0" w:lastRowLastColumn="0"/>
              <w:rPr>
                <w:lang w:val="fr-FR"/>
              </w:rPr>
            </w:pPr>
            <w:r w:rsidRPr="00C648A9">
              <w:t>22</w:t>
            </w:r>
          </w:p>
        </w:tc>
        <w:tc>
          <w:tcPr>
            <w:tcW w:w="0" w:type="auto"/>
            <w:vAlign w:val="top"/>
          </w:tcPr>
          <w:p w14:paraId="5043EDDC" w14:textId="61A99EAE" w:rsidR="001876D9" w:rsidRPr="00A8041F" w:rsidRDefault="001876D9" w:rsidP="001876D9">
            <w:pPr>
              <w:pStyle w:val="Geenafstand"/>
              <w:jc w:val="center"/>
              <w:cnfStyle w:val="000000000000" w:firstRow="0" w:lastRow="0" w:firstColumn="0" w:lastColumn="0" w:oddVBand="0" w:evenVBand="0" w:oddHBand="0" w:evenHBand="0" w:firstRowFirstColumn="0" w:firstRowLastColumn="0" w:lastRowFirstColumn="0" w:lastRowLastColumn="0"/>
              <w:rPr>
                <w:lang w:val="fr-FR"/>
              </w:rPr>
            </w:pPr>
            <w:r w:rsidRPr="00C648A9">
              <w:t>18</w:t>
            </w:r>
          </w:p>
        </w:tc>
        <w:tc>
          <w:tcPr>
            <w:tcW w:w="0" w:type="auto"/>
            <w:vAlign w:val="bottom"/>
          </w:tcPr>
          <w:p w14:paraId="2F0D8E0E" w14:textId="73E802AE" w:rsidR="001876D9" w:rsidRPr="00C648A9" w:rsidRDefault="001876D9" w:rsidP="001876D9">
            <w:pPr>
              <w:pStyle w:val="Geenafstand"/>
              <w:jc w:val="center"/>
              <w:cnfStyle w:val="000000000000" w:firstRow="0" w:lastRow="0" w:firstColumn="0" w:lastColumn="0" w:oddVBand="0" w:evenVBand="0" w:oddHBand="0" w:evenHBand="0" w:firstRowFirstColumn="0" w:firstRowLastColumn="0" w:lastRowFirstColumn="0" w:lastRowLastColumn="0"/>
            </w:pPr>
            <w:r w:rsidRPr="00330C1D">
              <w:t>19</w:t>
            </w:r>
          </w:p>
        </w:tc>
        <w:tc>
          <w:tcPr>
            <w:tcW w:w="0" w:type="auto"/>
            <w:vAlign w:val="bottom"/>
          </w:tcPr>
          <w:p w14:paraId="360F6FE6" w14:textId="26BBCFF6" w:rsidR="001876D9" w:rsidRPr="00C648A9" w:rsidRDefault="001876D9" w:rsidP="001876D9">
            <w:pPr>
              <w:pStyle w:val="Geenafstand"/>
              <w:jc w:val="center"/>
              <w:cnfStyle w:val="000000000000" w:firstRow="0" w:lastRow="0" w:firstColumn="0" w:lastColumn="0" w:oddVBand="0" w:evenVBand="0" w:oddHBand="0" w:evenHBand="0" w:firstRowFirstColumn="0" w:firstRowLastColumn="0" w:lastRowFirstColumn="0" w:lastRowLastColumn="0"/>
            </w:pPr>
            <w:r w:rsidRPr="00330C1D">
              <w:t>19</w:t>
            </w:r>
          </w:p>
        </w:tc>
        <w:tc>
          <w:tcPr>
            <w:tcW w:w="0" w:type="auto"/>
            <w:vAlign w:val="bottom"/>
          </w:tcPr>
          <w:p w14:paraId="0944A8F8" w14:textId="0E25E8DC" w:rsidR="001876D9" w:rsidRPr="00C648A9" w:rsidRDefault="001876D9" w:rsidP="001876D9">
            <w:pPr>
              <w:pStyle w:val="Geenafstand"/>
              <w:jc w:val="center"/>
              <w:cnfStyle w:val="000000000000" w:firstRow="0" w:lastRow="0" w:firstColumn="0" w:lastColumn="0" w:oddVBand="0" w:evenVBand="0" w:oddHBand="0" w:evenHBand="0" w:firstRowFirstColumn="0" w:firstRowLastColumn="0" w:lastRowFirstColumn="0" w:lastRowLastColumn="0"/>
            </w:pPr>
            <w:r w:rsidRPr="00330C1D">
              <w:t>19</w:t>
            </w:r>
          </w:p>
        </w:tc>
      </w:tr>
      <w:tr w:rsidR="001876D9" w:rsidRPr="00A8041F" w14:paraId="2D81769D" w14:textId="2A12E07A" w:rsidTr="00673685">
        <w:tc>
          <w:tcPr>
            <w:cnfStyle w:val="001000000000" w:firstRow="0" w:lastRow="0" w:firstColumn="1" w:lastColumn="0" w:oddVBand="0" w:evenVBand="0" w:oddHBand="0" w:evenHBand="0" w:firstRowFirstColumn="0" w:firstRowLastColumn="0" w:lastRowFirstColumn="0" w:lastRowLastColumn="0"/>
            <w:tcW w:w="0" w:type="auto"/>
            <w:vAlign w:val="top"/>
          </w:tcPr>
          <w:p w14:paraId="2FAB9EC1" w14:textId="5AB02DDD" w:rsidR="001876D9" w:rsidRPr="00A8041F" w:rsidRDefault="001876D9" w:rsidP="001876D9">
            <w:pPr>
              <w:pStyle w:val="Geenafstand"/>
              <w:rPr>
                <w:lang w:val="fr-FR"/>
              </w:rPr>
            </w:pPr>
            <w:r w:rsidRPr="00A8041F">
              <w:rPr>
                <w:lang w:val="fr-FR"/>
              </w:rPr>
              <w:t xml:space="preserve">SPF Mobilité </w:t>
            </w:r>
          </w:p>
        </w:tc>
        <w:tc>
          <w:tcPr>
            <w:tcW w:w="0" w:type="auto"/>
            <w:vAlign w:val="top"/>
          </w:tcPr>
          <w:p w14:paraId="65F61985" w14:textId="0B72D188" w:rsidR="001876D9" w:rsidRPr="00A8041F" w:rsidRDefault="001876D9" w:rsidP="001876D9">
            <w:pPr>
              <w:pStyle w:val="Geenafstand"/>
              <w:jc w:val="center"/>
              <w:cnfStyle w:val="000000000000" w:firstRow="0" w:lastRow="0" w:firstColumn="0" w:lastColumn="0" w:oddVBand="0" w:evenVBand="0" w:oddHBand="0" w:evenHBand="0" w:firstRowFirstColumn="0" w:firstRowLastColumn="0" w:lastRowFirstColumn="0" w:lastRowLastColumn="0"/>
              <w:rPr>
                <w:lang w:val="fr-FR"/>
              </w:rPr>
            </w:pPr>
            <w:r w:rsidRPr="00C648A9">
              <w:t>17</w:t>
            </w:r>
          </w:p>
        </w:tc>
        <w:tc>
          <w:tcPr>
            <w:tcW w:w="0" w:type="auto"/>
            <w:vAlign w:val="top"/>
          </w:tcPr>
          <w:p w14:paraId="2D3DE121" w14:textId="1283AB69" w:rsidR="001876D9" w:rsidRPr="00A8041F" w:rsidRDefault="001876D9" w:rsidP="001876D9">
            <w:pPr>
              <w:pStyle w:val="Geenafstand"/>
              <w:jc w:val="center"/>
              <w:cnfStyle w:val="000000000000" w:firstRow="0" w:lastRow="0" w:firstColumn="0" w:lastColumn="0" w:oddVBand="0" w:evenVBand="0" w:oddHBand="0" w:evenHBand="0" w:firstRowFirstColumn="0" w:firstRowLastColumn="0" w:lastRowFirstColumn="0" w:lastRowLastColumn="0"/>
              <w:rPr>
                <w:lang w:val="fr-FR"/>
              </w:rPr>
            </w:pPr>
            <w:r w:rsidRPr="00C648A9">
              <w:t>19</w:t>
            </w:r>
          </w:p>
        </w:tc>
        <w:tc>
          <w:tcPr>
            <w:tcW w:w="0" w:type="auto"/>
            <w:vAlign w:val="top"/>
          </w:tcPr>
          <w:p w14:paraId="39F27259" w14:textId="0225A955" w:rsidR="001876D9" w:rsidRPr="00A8041F" w:rsidRDefault="001876D9" w:rsidP="001876D9">
            <w:pPr>
              <w:pStyle w:val="Geenafstand"/>
              <w:jc w:val="center"/>
              <w:cnfStyle w:val="000000000000" w:firstRow="0" w:lastRow="0" w:firstColumn="0" w:lastColumn="0" w:oddVBand="0" w:evenVBand="0" w:oddHBand="0" w:evenHBand="0" w:firstRowFirstColumn="0" w:firstRowLastColumn="0" w:lastRowFirstColumn="0" w:lastRowLastColumn="0"/>
              <w:rPr>
                <w:lang w:val="fr-FR"/>
              </w:rPr>
            </w:pPr>
            <w:r w:rsidRPr="00C648A9">
              <w:t>16</w:t>
            </w:r>
          </w:p>
        </w:tc>
        <w:tc>
          <w:tcPr>
            <w:tcW w:w="0" w:type="auto"/>
            <w:vAlign w:val="bottom"/>
          </w:tcPr>
          <w:p w14:paraId="313A6C82" w14:textId="5F630741" w:rsidR="001876D9" w:rsidRPr="00C648A9" w:rsidRDefault="001876D9" w:rsidP="001876D9">
            <w:pPr>
              <w:pStyle w:val="Geenafstand"/>
              <w:jc w:val="center"/>
              <w:cnfStyle w:val="000000000000" w:firstRow="0" w:lastRow="0" w:firstColumn="0" w:lastColumn="0" w:oddVBand="0" w:evenVBand="0" w:oddHBand="0" w:evenHBand="0" w:firstRowFirstColumn="0" w:firstRowLastColumn="0" w:lastRowFirstColumn="0" w:lastRowLastColumn="0"/>
            </w:pPr>
            <w:r w:rsidRPr="00330C1D">
              <w:t>21</w:t>
            </w:r>
          </w:p>
        </w:tc>
        <w:tc>
          <w:tcPr>
            <w:tcW w:w="0" w:type="auto"/>
            <w:vAlign w:val="bottom"/>
          </w:tcPr>
          <w:p w14:paraId="296175F1" w14:textId="751A1F74" w:rsidR="001876D9" w:rsidRPr="00C648A9" w:rsidRDefault="001876D9" w:rsidP="001876D9">
            <w:pPr>
              <w:pStyle w:val="Geenafstand"/>
              <w:jc w:val="center"/>
              <w:cnfStyle w:val="000000000000" w:firstRow="0" w:lastRow="0" w:firstColumn="0" w:lastColumn="0" w:oddVBand="0" w:evenVBand="0" w:oddHBand="0" w:evenHBand="0" w:firstRowFirstColumn="0" w:firstRowLastColumn="0" w:lastRowFirstColumn="0" w:lastRowLastColumn="0"/>
            </w:pPr>
            <w:r w:rsidRPr="00330C1D">
              <w:t>19</w:t>
            </w:r>
          </w:p>
        </w:tc>
        <w:tc>
          <w:tcPr>
            <w:tcW w:w="0" w:type="auto"/>
            <w:vAlign w:val="bottom"/>
          </w:tcPr>
          <w:p w14:paraId="1AF679AB" w14:textId="063592FD" w:rsidR="001876D9" w:rsidRPr="00C648A9" w:rsidRDefault="001876D9" w:rsidP="001876D9">
            <w:pPr>
              <w:pStyle w:val="Geenafstand"/>
              <w:jc w:val="center"/>
              <w:cnfStyle w:val="000000000000" w:firstRow="0" w:lastRow="0" w:firstColumn="0" w:lastColumn="0" w:oddVBand="0" w:evenVBand="0" w:oddHBand="0" w:evenHBand="0" w:firstRowFirstColumn="0" w:firstRowLastColumn="0" w:lastRowFirstColumn="0" w:lastRowLastColumn="0"/>
            </w:pPr>
            <w:r w:rsidRPr="00330C1D">
              <w:t>17</w:t>
            </w:r>
          </w:p>
        </w:tc>
      </w:tr>
      <w:tr w:rsidR="001876D9" w:rsidRPr="00A8041F" w14:paraId="7C03CFDF" w14:textId="7CA643CC" w:rsidTr="00673685">
        <w:tc>
          <w:tcPr>
            <w:cnfStyle w:val="001000000000" w:firstRow="0" w:lastRow="0" w:firstColumn="1" w:lastColumn="0" w:oddVBand="0" w:evenVBand="0" w:oddHBand="0" w:evenHBand="0" w:firstRowFirstColumn="0" w:firstRowLastColumn="0" w:lastRowFirstColumn="0" w:lastRowLastColumn="0"/>
            <w:tcW w:w="0" w:type="auto"/>
            <w:vAlign w:val="top"/>
          </w:tcPr>
          <w:p w14:paraId="13B77FA3" w14:textId="394A9287" w:rsidR="001876D9" w:rsidRPr="00A8041F" w:rsidRDefault="001876D9" w:rsidP="001876D9">
            <w:pPr>
              <w:pStyle w:val="Geenafstand"/>
              <w:rPr>
                <w:lang w:val="fr-FR"/>
              </w:rPr>
            </w:pPr>
            <w:r w:rsidRPr="00A8041F">
              <w:rPr>
                <w:lang w:val="fr-FR"/>
              </w:rPr>
              <w:t>SPF Sécurité sociale</w:t>
            </w:r>
          </w:p>
        </w:tc>
        <w:tc>
          <w:tcPr>
            <w:tcW w:w="0" w:type="auto"/>
            <w:vAlign w:val="top"/>
          </w:tcPr>
          <w:p w14:paraId="01A83B61" w14:textId="4E041918" w:rsidR="001876D9" w:rsidRPr="00A8041F" w:rsidRDefault="001876D9" w:rsidP="001876D9">
            <w:pPr>
              <w:pStyle w:val="Geenafstand"/>
              <w:jc w:val="center"/>
              <w:cnfStyle w:val="000000000000" w:firstRow="0" w:lastRow="0" w:firstColumn="0" w:lastColumn="0" w:oddVBand="0" w:evenVBand="0" w:oddHBand="0" w:evenHBand="0" w:firstRowFirstColumn="0" w:firstRowLastColumn="0" w:lastRowFirstColumn="0" w:lastRowLastColumn="0"/>
              <w:rPr>
                <w:lang w:val="fr-FR"/>
              </w:rPr>
            </w:pPr>
            <w:r w:rsidRPr="00C648A9">
              <w:t>11</w:t>
            </w:r>
          </w:p>
        </w:tc>
        <w:tc>
          <w:tcPr>
            <w:tcW w:w="0" w:type="auto"/>
            <w:vAlign w:val="top"/>
          </w:tcPr>
          <w:p w14:paraId="2DFA9D54" w14:textId="51E7B146" w:rsidR="001876D9" w:rsidRPr="00A8041F" w:rsidRDefault="001876D9" w:rsidP="001876D9">
            <w:pPr>
              <w:pStyle w:val="Geenafstand"/>
              <w:jc w:val="center"/>
              <w:cnfStyle w:val="000000000000" w:firstRow="0" w:lastRow="0" w:firstColumn="0" w:lastColumn="0" w:oddVBand="0" w:evenVBand="0" w:oddHBand="0" w:evenHBand="0" w:firstRowFirstColumn="0" w:firstRowLastColumn="0" w:lastRowFirstColumn="0" w:lastRowLastColumn="0"/>
              <w:rPr>
                <w:lang w:val="fr-FR"/>
              </w:rPr>
            </w:pPr>
            <w:r w:rsidRPr="00C648A9">
              <w:t>4</w:t>
            </w:r>
          </w:p>
        </w:tc>
        <w:tc>
          <w:tcPr>
            <w:tcW w:w="0" w:type="auto"/>
            <w:vAlign w:val="top"/>
          </w:tcPr>
          <w:p w14:paraId="027275FD" w14:textId="54B10122" w:rsidR="001876D9" w:rsidRPr="00A8041F" w:rsidRDefault="001876D9" w:rsidP="001876D9">
            <w:pPr>
              <w:pStyle w:val="Geenafstand"/>
              <w:jc w:val="center"/>
              <w:cnfStyle w:val="000000000000" w:firstRow="0" w:lastRow="0" w:firstColumn="0" w:lastColumn="0" w:oddVBand="0" w:evenVBand="0" w:oddHBand="0" w:evenHBand="0" w:firstRowFirstColumn="0" w:firstRowLastColumn="0" w:lastRowFirstColumn="0" w:lastRowLastColumn="0"/>
              <w:rPr>
                <w:lang w:val="fr-FR"/>
              </w:rPr>
            </w:pPr>
            <w:r w:rsidRPr="00C648A9">
              <w:t>4</w:t>
            </w:r>
          </w:p>
        </w:tc>
        <w:tc>
          <w:tcPr>
            <w:tcW w:w="0" w:type="auto"/>
            <w:vAlign w:val="bottom"/>
          </w:tcPr>
          <w:p w14:paraId="1183EF89" w14:textId="5054B27A" w:rsidR="001876D9" w:rsidRPr="00C648A9" w:rsidRDefault="001876D9" w:rsidP="001876D9">
            <w:pPr>
              <w:pStyle w:val="Geenafstand"/>
              <w:jc w:val="center"/>
              <w:cnfStyle w:val="000000000000" w:firstRow="0" w:lastRow="0" w:firstColumn="0" w:lastColumn="0" w:oddVBand="0" w:evenVBand="0" w:oddHBand="0" w:evenHBand="0" w:firstRowFirstColumn="0" w:firstRowLastColumn="0" w:lastRowFirstColumn="0" w:lastRowLastColumn="0"/>
            </w:pPr>
            <w:r w:rsidRPr="00330C1D">
              <w:t>6</w:t>
            </w:r>
          </w:p>
        </w:tc>
        <w:tc>
          <w:tcPr>
            <w:tcW w:w="0" w:type="auto"/>
            <w:vAlign w:val="bottom"/>
          </w:tcPr>
          <w:p w14:paraId="0D890927" w14:textId="5C4FBF7F" w:rsidR="001876D9" w:rsidRPr="00C648A9" w:rsidRDefault="001876D9" w:rsidP="001876D9">
            <w:pPr>
              <w:pStyle w:val="Geenafstand"/>
              <w:jc w:val="center"/>
              <w:cnfStyle w:val="000000000000" w:firstRow="0" w:lastRow="0" w:firstColumn="0" w:lastColumn="0" w:oddVBand="0" w:evenVBand="0" w:oddHBand="0" w:evenHBand="0" w:firstRowFirstColumn="0" w:firstRowLastColumn="0" w:lastRowFirstColumn="0" w:lastRowLastColumn="0"/>
            </w:pPr>
            <w:r w:rsidRPr="00330C1D">
              <w:t>4</w:t>
            </w:r>
          </w:p>
        </w:tc>
        <w:tc>
          <w:tcPr>
            <w:tcW w:w="0" w:type="auto"/>
            <w:vAlign w:val="bottom"/>
          </w:tcPr>
          <w:p w14:paraId="5D30E15A" w14:textId="7A72486B" w:rsidR="001876D9" w:rsidRPr="00C648A9" w:rsidRDefault="001876D9" w:rsidP="001876D9">
            <w:pPr>
              <w:pStyle w:val="Geenafstand"/>
              <w:jc w:val="center"/>
              <w:cnfStyle w:val="000000000000" w:firstRow="0" w:lastRow="0" w:firstColumn="0" w:lastColumn="0" w:oddVBand="0" w:evenVBand="0" w:oddHBand="0" w:evenHBand="0" w:firstRowFirstColumn="0" w:firstRowLastColumn="0" w:lastRowFirstColumn="0" w:lastRowLastColumn="0"/>
            </w:pPr>
            <w:r w:rsidRPr="00330C1D">
              <w:t>6</w:t>
            </w:r>
          </w:p>
        </w:tc>
      </w:tr>
      <w:tr w:rsidR="001876D9" w:rsidRPr="00A8041F" w14:paraId="7E38D668" w14:textId="37421EC6" w:rsidTr="00673685">
        <w:tc>
          <w:tcPr>
            <w:cnfStyle w:val="001000000000" w:firstRow="0" w:lastRow="0" w:firstColumn="1" w:lastColumn="0" w:oddVBand="0" w:evenVBand="0" w:oddHBand="0" w:evenHBand="0" w:firstRowFirstColumn="0" w:firstRowLastColumn="0" w:lastRowFirstColumn="0" w:lastRowLastColumn="0"/>
            <w:tcW w:w="0" w:type="auto"/>
            <w:vAlign w:val="top"/>
          </w:tcPr>
          <w:p w14:paraId="52B27554" w14:textId="6586473E" w:rsidR="001876D9" w:rsidRPr="00A8041F" w:rsidRDefault="001876D9" w:rsidP="001876D9">
            <w:pPr>
              <w:pStyle w:val="Geenafstand"/>
              <w:rPr>
                <w:lang w:val="fr-FR"/>
              </w:rPr>
            </w:pPr>
            <w:r w:rsidRPr="00A8041F">
              <w:rPr>
                <w:lang w:val="fr-FR"/>
              </w:rPr>
              <w:t>SPF Emploi</w:t>
            </w:r>
          </w:p>
        </w:tc>
        <w:tc>
          <w:tcPr>
            <w:tcW w:w="0" w:type="auto"/>
            <w:vAlign w:val="top"/>
          </w:tcPr>
          <w:p w14:paraId="234C07AF" w14:textId="09EAB20F" w:rsidR="001876D9" w:rsidRPr="00A8041F" w:rsidRDefault="001876D9" w:rsidP="001876D9">
            <w:pPr>
              <w:pStyle w:val="Geenafstand"/>
              <w:jc w:val="center"/>
              <w:cnfStyle w:val="000000000000" w:firstRow="0" w:lastRow="0" w:firstColumn="0" w:lastColumn="0" w:oddVBand="0" w:evenVBand="0" w:oddHBand="0" w:evenHBand="0" w:firstRowFirstColumn="0" w:firstRowLastColumn="0" w:lastRowFirstColumn="0" w:lastRowLastColumn="0"/>
              <w:rPr>
                <w:lang w:val="fr-FR"/>
              </w:rPr>
            </w:pPr>
            <w:r w:rsidRPr="00C648A9">
              <w:t>26</w:t>
            </w:r>
          </w:p>
        </w:tc>
        <w:tc>
          <w:tcPr>
            <w:tcW w:w="0" w:type="auto"/>
            <w:vAlign w:val="top"/>
          </w:tcPr>
          <w:p w14:paraId="36CF9B31" w14:textId="02CFD212" w:rsidR="001876D9" w:rsidRPr="00A8041F" w:rsidRDefault="001876D9" w:rsidP="001876D9">
            <w:pPr>
              <w:pStyle w:val="Geenafstand"/>
              <w:jc w:val="center"/>
              <w:cnfStyle w:val="000000000000" w:firstRow="0" w:lastRow="0" w:firstColumn="0" w:lastColumn="0" w:oddVBand="0" w:evenVBand="0" w:oddHBand="0" w:evenHBand="0" w:firstRowFirstColumn="0" w:firstRowLastColumn="0" w:lastRowFirstColumn="0" w:lastRowLastColumn="0"/>
              <w:rPr>
                <w:lang w:val="fr-FR"/>
              </w:rPr>
            </w:pPr>
            <w:r w:rsidRPr="00C648A9">
              <w:t>20</w:t>
            </w:r>
          </w:p>
        </w:tc>
        <w:tc>
          <w:tcPr>
            <w:tcW w:w="0" w:type="auto"/>
            <w:vAlign w:val="top"/>
          </w:tcPr>
          <w:p w14:paraId="55817FBD" w14:textId="0741FAB0" w:rsidR="001876D9" w:rsidRPr="00A8041F" w:rsidRDefault="001876D9" w:rsidP="001876D9">
            <w:pPr>
              <w:pStyle w:val="Geenafstand"/>
              <w:jc w:val="center"/>
              <w:cnfStyle w:val="000000000000" w:firstRow="0" w:lastRow="0" w:firstColumn="0" w:lastColumn="0" w:oddVBand="0" w:evenVBand="0" w:oddHBand="0" w:evenHBand="0" w:firstRowFirstColumn="0" w:firstRowLastColumn="0" w:lastRowFirstColumn="0" w:lastRowLastColumn="0"/>
              <w:rPr>
                <w:lang w:val="fr-FR"/>
              </w:rPr>
            </w:pPr>
            <w:r w:rsidRPr="00C648A9">
              <w:t>16</w:t>
            </w:r>
          </w:p>
        </w:tc>
        <w:tc>
          <w:tcPr>
            <w:tcW w:w="0" w:type="auto"/>
            <w:vAlign w:val="bottom"/>
          </w:tcPr>
          <w:p w14:paraId="7EA36D0A" w14:textId="0D51368C" w:rsidR="001876D9" w:rsidRPr="00C648A9" w:rsidRDefault="001876D9" w:rsidP="001876D9">
            <w:pPr>
              <w:pStyle w:val="Geenafstand"/>
              <w:jc w:val="center"/>
              <w:cnfStyle w:val="000000000000" w:firstRow="0" w:lastRow="0" w:firstColumn="0" w:lastColumn="0" w:oddVBand="0" w:evenVBand="0" w:oddHBand="0" w:evenHBand="0" w:firstRowFirstColumn="0" w:firstRowLastColumn="0" w:lastRowFirstColumn="0" w:lastRowLastColumn="0"/>
            </w:pPr>
            <w:r w:rsidRPr="00330C1D">
              <w:t>16</w:t>
            </w:r>
          </w:p>
        </w:tc>
        <w:tc>
          <w:tcPr>
            <w:tcW w:w="0" w:type="auto"/>
            <w:vAlign w:val="bottom"/>
          </w:tcPr>
          <w:p w14:paraId="5E9B140A" w14:textId="7FA64E21" w:rsidR="001876D9" w:rsidRPr="00C648A9" w:rsidRDefault="001876D9" w:rsidP="001876D9">
            <w:pPr>
              <w:pStyle w:val="Geenafstand"/>
              <w:jc w:val="center"/>
              <w:cnfStyle w:val="000000000000" w:firstRow="0" w:lastRow="0" w:firstColumn="0" w:lastColumn="0" w:oddVBand="0" w:evenVBand="0" w:oddHBand="0" w:evenHBand="0" w:firstRowFirstColumn="0" w:firstRowLastColumn="0" w:lastRowFirstColumn="0" w:lastRowLastColumn="0"/>
            </w:pPr>
            <w:r w:rsidRPr="00330C1D">
              <w:t>10</w:t>
            </w:r>
          </w:p>
        </w:tc>
        <w:tc>
          <w:tcPr>
            <w:tcW w:w="0" w:type="auto"/>
            <w:vAlign w:val="bottom"/>
          </w:tcPr>
          <w:p w14:paraId="7E5CA3C3" w14:textId="2A104DD0" w:rsidR="001876D9" w:rsidRPr="00C648A9" w:rsidRDefault="001876D9" w:rsidP="001876D9">
            <w:pPr>
              <w:pStyle w:val="Geenafstand"/>
              <w:jc w:val="center"/>
              <w:cnfStyle w:val="000000000000" w:firstRow="0" w:lastRow="0" w:firstColumn="0" w:lastColumn="0" w:oddVBand="0" w:evenVBand="0" w:oddHBand="0" w:evenHBand="0" w:firstRowFirstColumn="0" w:firstRowLastColumn="0" w:lastRowFirstColumn="0" w:lastRowLastColumn="0"/>
            </w:pPr>
            <w:r w:rsidRPr="00330C1D">
              <w:t>11</w:t>
            </w:r>
          </w:p>
        </w:tc>
      </w:tr>
      <w:tr w:rsidR="001876D9" w:rsidRPr="00A8041F" w14:paraId="25176401" w14:textId="430371C4" w:rsidTr="00673685">
        <w:tc>
          <w:tcPr>
            <w:cnfStyle w:val="001000000000" w:firstRow="0" w:lastRow="0" w:firstColumn="1" w:lastColumn="0" w:oddVBand="0" w:evenVBand="0" w:oddHBand="0" w:evenHBand="0" w:firstRowFirstColumn="0" w:firstRowLastColumn="0" w:lastRowFirstColumn="0" w:lastRowLastColumn="0"/>
            <w:tcW w:w="0" w:type="auto"/>
            <w:vAlign w:val="top"/>
          </w:tcPr>
          <w:p w14:paraId="1FD6A2B4" w14:textId="0D644EA9" w:rsidR="001876D9" w:rsidRPr="00A8041F" w:rsidRDefault="001876D9" w:rsidP="001876D9">
            <w:pPr>
              <w:pStyle w:val="Geenafstand"/>
              <w:rPr>
                <w:lang w:val="fr-FR"/>
              </w:rPr>
            </w:pPr>
            <w:r w:rsidRPr="00A8041F">
              <w:rPr>
                <w:lang w:val="fr-FR"/>
              </w:rPr>
              <w:t>Intégration sociale</w:t>
            </w:r>
          </w:p>
        </w:tc>
        <w:tc>
          <w:tcPr>
            <w:tcW w:w="0" w:type="auto"/>
            <w:vAlign w:val="top"/>
          </w:tcPr>
          <w:p w14:paraId="082CA3CB" w14:textId="325AB25F" w:rsidR="001876D9" w:rsidRPr="00A8041F" w:rsidRDefault="001876D9" w:rsidP="001876D9">
            <w:pPr>
              <w:pStyle w:val="Geenafstand"/>
              <w:jc w:val="center"/>
              <w:cnfStyle w:val="000000000000" w:firstRow="0" w:lastRow="0" w:firstColumn="0" w:lastColumn="0" w:oddVBand="0" w:evenVBand="0" w:oddHBand="0" w:evenHBand="0" w:firstRowFirstColumn="0" w:firstRowLastColumn="0" w:lastRowFirstColumn="0" w:lastRowLastColumn="0"/>
              <w:rPr>
                <w:lang w:val="fr-FR"/>
              </w:rPr>
            </w:pPr>
            <w:r w:rsidRPr="00C648A9">
              <w:t>13</w:t>
            </w:r>
          </w:p>
        </w:tc>
        <w:tc>
          <w:tcPr>
            <w:tcW w:w="0" w:type="auto"/>
            <w:vAlign w:val="top"/>
          </w:tcPr>
          <w:p w14:paraId="33945267" w14:textId="458491FD" w:rsidR="001876D9" w:rsidRPr="00A8041F" w:rsidRDefault="001876D9" w:rsidP="001876D9">
            <w:pPr>
              <w:pStyle w:val="Geenafstand"/>
              <w:jc w:val="center"/>
              <w:cnfStyle w:val="000000000000" w:firstRow="0" w:lastRow="0" w:firstColumn="0" w:lastColumn="0" w:oddVBand="0" w:evenVBand="0" w:oddHBand="0" w:evenHBand="0" w:firstRowFirstColumn="0" w:firstRowLastColumn="0" w:lastRowFirstColumn="0" w:lastRowLastColumn="0"/>
              <w:rPr>
                <w:lang w:val="fr-FR"/>
              </w:rPr>
            </w:pPr>
            <w:r w:rsidRPr="00C648A9">
              <w:t>17</w:t>
            </w:r>
          </w:p>
        </w:tc>
        <w:tc>
          <w:tcPr>
            <w:tcW w:w="0" w:type="auto"/>
            <w:vAlign w:val="top"/>
          </w:tcPr>
          <w:p w14:paraId="5C2A00F9" w14:textId="28A987AF" w:rsidR="001876D9" w:rsidRPr="00A8041F" w:rsidRDefault="001876D9" w:rsidP="001876D9">
            <w:pPr>
              <w:pStyle w:val="Geenafstand"/>
              <w:jc w:val="center"/>
              <w:cnfStyle w:val="000000000000" w:firstRow="0" w:lastRow="0" w:firstColumn="0" w:lastColumn="0" w:oddVBand="0" w:evenVBand="0" w:oddHBand="0" w:evenHBand="0" w:firstRowFirstColumn="0" w:firstRowLastColumn="0" w:lastRowFirstColumn="0" w:lastRowLastColumn="0"/>
              <w:rPr>
                <w:lang w:val="fr-FR"/>
              </w:rPr>
            </w:pPr>
            <w:r w:rsidRPr="00C648A9">
              <w:t>20</w:t>
            </w:r>
          </w:p>
        </w:tc>
        <w:tc>
          <w:tcPr>
            <w:tcW w:w="0" w:type="auto"/>
            <w:vAlign w:val="bottom"/>
          </w:tcPr>
          <w:p w14:paraId="763044D7" w14:textId="4E85E7EC" w:rsidR="001876D9" w:rsidRPr="00C648A9" w:rsidRDefault="001876D9" w:rsidP="001876D9">
            <w:pPr>
              <w:pStyle w:val="Geenafstand"/>
              <w:jc w:val="center"/>
              <w:cnfStyle w:val="000000000000" w:firstRow="0" w:lastRow="0" w:firstColumn="0" w:lastColumn="0" w:oddVBand="0" w:evenVBand="0" w:oddHBand="0" w:evenHBand="0" w:firstRowFirstColumn="0" w:firstRowLastColumn="0" w:lastRowFirstColumn="0" w:lastRowLastColumn="0"/>
            </w:pPr>
            <w:r w:rsidRPr="00330C1D">
              <w:t>8</w:t>
            </w:r>
          </w:p>
        </w:tc>
        <w:tc>
          <w:tcPr>
            <w:tcW w:w="0" w:type="auto"/>
            <w:vAlign w:val="bottom"/>
          </w:tcPr>
          <w:p w14:paraId="34CDE7BD" w14:textId="021F2DE4" w:rsidR="001876D9" w:rsidRPr="00C648A9" w:rsidRDefault="001876D9" w:rsidP="001876D9">
            <w:pPr>
              <w:pStyle w:val="Geenafstand"/>
              <w:jc w:val="center"/>
              <w:cnfStyle w:val="000000000000" w:firstRow="0" w:lastRow="0" w:firstColumn="0" w:lastColumn="0" w:oddVBand="0" w:evenVBand="0" w:oddHBand="0" w:evenHBand="0" w:firstRowFirstColumn="0" w:firstRowLastColumn="0" w:lastRowFirstColumn="0" w:lastRowLastColumn="0"/>
            </w:pPr>
            <w:r w:rsidRPr="00330C1D">
              <w:t>13</w:t>
            </w:r>
          </w:p>
        </w:tc>
        <w:tc>
          <w:tcPr>
            <w:tcW w:w="0" w:type="auto"/>
            <w:vAlign w:val="bottom"/>
          </w:tcPr>
          <w:p w14:paraId="5A400C69" w14:textId="01303F8D" w:rsidR="001876D9" w:rsidRPr="00C648A9" w:rsidRDefault="001876D9" w:rsidP="001876D9">
            <w:pPr>
              <w:pStyle w:val="Geenafstand"/>
              <w:jc w:val="center"/>
              <w:cnfStyle w:val="000000000000" w:firstRow="0" w:lastRow="0" w:firstColumn="0" w:lastColumn="0" w:oddVBand="0" w:evenVBand="0" w:oddHBand="0" w:evenHBand="0" w:firstRowFirstColumn="0" w:firstRowLastColumn="0" w:lastRowFirstColumn="0" w:lastRowLastColumn="0"/>
            </w:pPr>
            <w:r w:rsidRPr="00330C1D">
              <w:t>20</w:t>
            </w:r>
          </w:p>
        </w:tc>
      </w:tr>
      <w:tr w:rsidR="001876D9" w:rsidRPr="00A8041F" w14:paraId="08B926FB" w14:textId="6628EE4F" w:rsidTr="00673685">
        <w:tc>
          <w:tcPr>
            <w:cnfStyle w:val="001000000000" w:firstRow="0" w:lastRow="0" w:firstColumn="1" w:lastColumn="0" w:oddVBand="0" w:evenVBand="0" w:oddHBand="0" w:evenHBand="0" w:firstRowFirstColumn="0" w:firstRowLastColumn="0" w:lastRowFirstColumn="0" w:lastRowLastColumn="0"/>
            <w:tcW w:w="0" w:type="auto"/>
            <w:vAlign w:val="top"/>
          </w:tcPr>
          <w:p w14:paraId="6143A3F5" w14:textId="1525D782" w:rsidR="001876D9" w:rsidRPr="00A8041F" w:rsidRDefault="001876D9" w:rsidP="001876D9">
            <w:pPr>
              <w:pStyle w:val="Geenafstand"/>
              <w:rPr>
                <w:lang w:val="fr-FR"/>
              </w:rPr>
            </w:pPr>
            <w:r>
              <w:rPr>
                <w:lang w:val="fr-FR"/>
              </w:rPr>
              <w:t>Moyenne</w:t>
            </w:r>
          </w:p>
        </w:tc>
        <w:tc>
          <w:tcPr>
            <w:tcW w:w="0" w:type="auto"/>
            <w:vAlign w:val="top"/>
          </w:tcPr>
          <w:p w14:paraId="7AF5DFAB" w14:textId="0F51CEF3" w:rsidR="001876D9" w:rsidRPr="00346255" w:rsidRDefault="001876D9" w:rsidP="001876D9">
            <w:pPr>
              <w:pStyle w:val="Geenafstand"/>
              <w:jc w:val="center"/>
              <w:cnfStyle w:val="000000000000" w:firstRow="0" w:lastRow="0" w:firstColumn="0" w:lastColumn="0" w:oddVBand="0" w:evenVBand="0" w:oddHBand="0" w:evenHBand="0" w:firstRowFirstColumn="0" w:firstRowLastColumn="0" w:lastRowFirstColumn="0" w:lastRowLastColumn="0"/>
              <w:rPr>
                <w:rStyle w:val="Zwaar"/>
                <w:b w:val="0"/>
                <w:bCs w:val="0"/>
                <w:lang w:val="fr-FR"/>
              </w:rPr>
            </w:pPr>
            <w:r w:rsidRPr="00346255">
              <w:rPr>
                <w:b/>
                <w:bCs/>
              </w:rPr>
              <w:t>23</w:t>
            </w:r>
          </w:p>
        </w:tc>
        <w:tc>
          <w:tcPr>
            <w:tcW w:w="0" w:type="auto"/>
            <w:vAlign w:val="top"/>
          </w:tcPr>
          <w:p w14:paraId="45929204" w14:textId="6391D0F1" w:rsidR="001876D9" w:rsidRPr="00346255" w:rsidRDefault="001876D9" w:rsidP="001876D9">
            <w:pPr>
              <w:pStyle w:val="Geenafstand"/>
              <w:jc w:val="center"/>
              <w:cnfStyle w:val="000000000000" w:firstRow="0" w:lastRow="0" w:firstColumn="0" w:lastColumn="0" w:oddVBand="0" w:evenVBand="0" w:oddHBand="0" w:evenHBand="0" w:firstRowFirstColumn="0" w:firstRowLastColumn="0" w:lastRowFirstColumn="0" w:lastRowLastColumn="0"/>
              <w:rPr>
                <w:rStyle w:val="Zwaar"/>
                <w:b w:val="0"/>
                <w:bCs w:val="0"/>
                <w:lang w:val="fr-FR"/>
              </w:rPr>
            </w:pPr>
            <w:r w:rsidRPr="00346255">
              <w:rPr>
                <w:b/>
                <w:bCs/>
              </w:rPr>
              <w:t>21</w:t>
            </w:r>
          </w:p>
        </w:tc>
        <w:tc>
          <w:tcPr>
            <w:tcW w:w="0" w:type="auto"/>
            <w:vAlign w:val="top"/>
          </w:tcPr>
          <w:p w14:paraId="22F876B3" w14:textId="451A534F" w:rsidR="001876D9" w:rsidRPr="00346255" w:rsidRDefault="001876D9" w:rsidP="001876D9">
            <w:pPr>
              <w:pStyle w:val="Geenafstand"/>
              <w:jc w:val="center"/>
              <w:cnfStyle w:val="000000000000" w:firstRow="0" w:lastRow="0" w:firstColumn="0" w:lastColumn="0" w:oddVBand="0" w:evenVBand="0" w:oddHBand="0" w:evenHBand="0" w:firstRowFirstColumn="0" w:firstRowLastColumn="0" w:lastRowFirstColumn="0" w:lastRowLastColumn="0"/>
              <w:rPr>
                <w:rStyle w:val="Zwaar"/>
                <w:b w:val="0"/>
                <w:bCs w:val="0"/>
                <w:lang w:val="fr-FR"/>
              </w:rPr>
            </w:pPr>
            <w:r w:rsidRPr="00346255">
              <w:rPr>
                <w:b/>
                <w:bCs/>
              </w:rPr>
              <w:t>20</w:t>
            </w:r>
          </w:p>
        </w:tc>
        <w:tc>
          <w:tcPr>
            <w:tcW w:w="0" w:type="auto"/>
            <w:vAlign w:val="bottom"/>
          </w:tcPr>
          <w:p w14:paraId="4B4B488E" w14:textId="3302AEC9" w:rsidR="001876D9" w:rsidRPr="00346255" w:rsidRDefault="001876D9" w:rsidP="001876D9">
            <w:pPr>
              <w:pStyle w:val="Geenafstand"/>
              <w:jc w:val="center"/>
              <w:cnfStyle w:val="000000000000" w:firstRow="0" w:lastRow="0" w:firstColumn="0" w:lastColumn="0" w:oddVBand="0" w:evenVBand="0" w:oddHBand="0" w:evenHBand="0" w:firstRowFirstColumn="0" w:firstRowLastColumn="0" w:lastRowFirstColumn="0" w:lastRowLastColumn="0"/>
              <w:rPr>
                <w:b/>
                <w:bCs/>
              </w:rPr>
            </w:pPr>
            <w:r w:rsidRPr="00330C1D">
              <w:rPr>
                <w:rStyle w:val="Zwaar"/>
              </w:rPr>
              <w:t>21</w:t>
            </w:r>
          </w:p>
        </w:tc>
        <w:tc>
          <w:tcPr>
            <w:tcW w:w="0" w:type="auto"/>
            <w:vAlign w:val="bottom"/>
          </w:tcPr>
          <w:p w14:paraId="222B5318" w14:textId="08F82617" w:rsidR="001876D9" w:rsidRPr="00346255" w:rsidRDefault="001876D9" w:rsidP="001876D9">
            <w:pPr>
              <w:pStyle w:val="Geenafstand"/>
              <w:jc w:val="center"/>
              <w:cnfStyle w:val="000000000000" w:firstRow="0" w:lastRow="0" w:firstColumn="0" w:lastColumn="0" w:oddVBand="0" w:evenVBand="0" w:oddHBand="0" w:evenHBand="0" w:firstRowFirstColumn="0" w:firstRowLastColumn="0" w:lastRowFirstColumn="0" w:lastRowLastColumn="0"/>
              <w:rPr>
                <w:b/>
                <w:bCs/>
              </w:rPr>
            </w:pPr>
            <w:r w:rsidRPr="00330C1D">
              <w:rPr>
                <w:rStyle w:val="Zwaar"/>
              </w:rPr>
              <w:t>20</w:t>
            </w:r>
          </w:p>
        </w:tc>
        <w:tc>
          <w:tcPr>
            <w:tcW w:w="0" w:type="auto"/>
            <w:vAlign w:val="bottom"/>
          </w:tcPr>
          <w:p w14:paraId="731F7B95" w14:textId="32D9F538" w:rsidR="001876D9" w:rsidRPr="00346255" w:rsidRDefault="001876D9" w:rsidP="001876D9">
            <w:pPr>
              <w:pStyle w:val="Geenafstand"/>
              <w:jc w:val="center"/>
              <w:cnfStyle w:val="000000000000" w:firstRow="0" w:lastRow="0" w:firstColumn="0" w:lastColumn="0" w:oddVBand="0" w:evenVBand="0" w:oddHBand="0" w:evenHBand="0" w:firstRowFirstColumn="0" w:firstRowLastColumn="0" w:lastRowFirstColumn="0" w:lastRowLastColumn="0"/>
              <w:rPr>
                <w:b/>
                <w:bCs/>
              </w:rPr>
            </w:pPr>
            <w:r w:rsidRPr="00330C1D">
              <w:rPr>
                <w:rStyle w:val="Zwaar"/>
              </w:rPr>
              <w:t>22</w:t>
            </w:r>
          </w:p>
        </w:tc>
      </w:tr>
    </w:tbl>
    <w:p w14:paraId="28579F5A" w14:textId="77777777" w:rsidR="002D3EB7" w:rsidRPr="00A8041F" w:rsidRDefault="002D3EB7" w:rsidP="002D3EB7">
      <w:pPr>
        <w:pStyle w:val="Geenafstand"/>
        <w:rPr>
          <w:lang w:val="fr-FR"/>
        </w:rPr>
      </w:pPr>
    </w:p>
    <w:p w14:paraId="43E69DB3" w14:textId="5FF18EAA" w:rsidR="00950FD5" w:rsidRPr="00A8041F" w:rsidRDefault="00950FD5" w:rsidP="00950FD5">
      <w:pPr>
        <w:pStyle w:val="Kop4"/>
        <w:rPr>
          <w:lang w:val="fr-FR"/>
        </w:rPr>
      </w:pPr>
      <w:r w:rsidRPr="00A8041F">
        <w:rPr>
          <w:lang w:val="fr-FR"/>
        </w:rPr>
        <w:lastRenderedPageBreak/>
        <w:t>Tableau </w:t>
      </w:r>
      <w:r w:rsidR="00B14DAA">
        <w:rPr>
          <w:lang w:val="fr-FR"/>
        </w:rPr>
        <w:t xml:space="preserve">3 </w:t>
      </w:r>
      <w:r w:rsidRPr="00A8041F">
        <w:rPr>
          <w:lang w:val="fr-FR"/>
        </w:rPr>
        <w:t xml:space="preserve">: </w:t>
      </w:r>
      <w:r w:rsidR="00036A8B">
        <w:rPr>
          <w:lang w:val="fr-FR"/>
        </w:rPr>
        <w:t>N</w:t>
      </w:r>
      <w:r w:rsidRPr="00A8041F">
        <w:rPr>
          <w:lang w:val="fr-FR"/>
        </w:rPr>
        <w:t>ombre de factures payées dans un délai déterminé après la date de scan</w:t>
      </w:r>
    </w:p>
    <w:p w14:paraId="34F9BDB8" w14:textId="123FCF8F" w:rsidR="00950FD5" w:rsidRPr="00A8041F" w:rsidRDefault="00950FD5" w:rsidP="00597D8F">
      <w:pPr>
        <w:rPr>
          <w:lang w:val="fr-FR"/>
        </w:rPr>
      </w:pPr>
      <w:r w:rsidRPr="00A8041F">
        <w:rPr>
          <w:lang w:val="fr-FR"/>
        </w:rPr>
        <w:t>Période : 01/01/202</w:t>
      </w:r>
      <w:r w:rsidR="00346255">
        <w:rPr>
          <w:lang w:val="fr-FR"/>
        </w:rPr>
        <w:t>2</w:t>
      </w:r>
      <w:r w:rsidRPr="00A8041F">
        <w:rPr>
          <w:lang w:val="fr-FR"/>
        </w:rPr>
        <w:t xml:space="preserve"> et 3</w:t>
      </w:r>
      <w:r w:rsidR="00062A08">
        <w:rPr>
          <w:lang w:val="fr-FR"/>
        </w:rPr>
        <w:t>0</w:t>
      </w:r>
      <w:r w:rsidRPr="00A8041F">
        <w:rPr>
          <w:lang w:val="fr-FR"/>
        </w:rPr>
        <w:t>/</w:t>
      </w:r>
      <w:r w:rsidR="00346255">
        <w:rPr>
          <w:lang w:val="fr-FR"/>
        </w:rPr>
        <w:t>0</w:t>
      </w:r>
      <w:r w:rsidR="00062A08">
        <w:rPr>
          <w:lang w:val="fr-FR"/>
        </w:rPr>
        <w:t>6</w:t>
      </w:r>
      <w:r w:rsidRPr="00A8041F">
        <w:rPr>
          <w:lang w:val="fr-FR"/>
        </w:rPr>
        <w:t>/202</w:t>
      </w:r>
      <w:r w:rsidR="00346255">
        <w:rPr>
          <w:lang w:val="fr-FR"/>
        </w:rPr>
        <w:t>2</w:t>
      </w:r>
    </w:p>
    <w:tbl>
      <w:tblPr>
        <w:tblStyle w:val="BasicTable"/>
        <w:tblW w:w="5000" w:type="pct"/>
        <w:tblLook w:val="04A0" w:firstRow="1" w:lastRow="0" w:firstColumn="1" w:lastColumn="0" w:noHBand="0" w:noVBand="1"/>
      </w:tblPr>
      <w:tblGrid>
        <w:gridCol w:w="2542"/>
        <w:gridCol w:w="1087"/>
        <w:gridCol w:w="702"/>
        <w:gridCol w:w="1087"/>
        <w:gridCol w:w="702"/>
        <w:gridCol w:w="1087"/>
        <w:gridCol w:w="687"/>
        <w:gridCol w:w="1087"/>
        <w:gridCol w:w="637"/>
      </w:tblGrid>
      <w:tr w:rsidR="00FC4979" w:rsidRPr="00A8041F" w14:paraId="603C4EF1" w14:textId="77777777" w:rsidTr="00B253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2" w:type="pct"/>
          </w:tcPr>
          <w:p w14:paraId="44337BE5" w14:textId="77777777" w:rsidR="00FC4979" w:rsidRPr="00A8041F" w:rsidRDefault="00FC4979" w:rsidP="00FC4979">
            <w:pPr>
              <w:pStyle w:val="Geenafstand"/>
              <w:rPr>
                <w:lang w:val="fr-FR"/>
              </w:rPr>
            </w:pPr>
          </w:p>
        </w:tc>
        <w:tc>
          <w:tcPr>
            <w:tcW w:w="930" w:type="pct"/>
            <w:gridSpan w:val="2"/>
            <w:vAlign w:val="top"/>
          </w:tcPr>
          <w:p w14:paraId="4F17F337" w14:textId="402973D7" w:rsidR="00FC4979" w:rsidRPr="00A8041F" w:rsidRDefault="00FC4979" w:rsidP="00BA1F72">
            <w:pPr>
              <w:pStyle w:val="Geenafstand"/>
              <w:jc w:val="center"/>
              <w:cnfStyle w:val="100000000000" w:firstRow="1" w:lastRow="0" w:firstColumn="0" w:lastColumn="0" w:oddVBand="0" w:evenVBand="0" w:oddHBand="0" w:evenHBand="0" w:firstRowFirstColumn="0" w:firstRowLastColumn="0" w:lastRowFirstColumn="0" w:lastRowLastColumn="0"/>
              <w:rPr>
                <w:lang w:val="fr-FR"/>
              </w:rPr>
            </w:pPr>
            <w:r w:rsidRPr="00A8041F">
              <w:rPr>
                <w:lang w:val="fr-FR"/>
              </w:rPr>
              <w:t>≤ 15 jours</w:t>
            </w:r>
          </w:p>
        </w:tc>
        <w:tc>
          <w:tcPr>
            <w:tcW w:w="930" w:type="pct"/>
            <w:gridSpan w:val="2"/>
            <w:vAlign w:val="top"/>
          </w:tcPr>
          <w:p w14:paraId="1CE00BDD" w14:textId="02DBC176" w:rsidR="00177588" w:rsidRPr="00A8041F" w:rsidRDefault="00FC4979" w:rsidP="00BA1F72">
            <w:pPr>
              <w:pStyle w:val="Geenafstand"/>
              <w:jc w:val="center"/>
              <w:cnfStyle w:val="100000000000" w:firstRow="1" w:lastRow="0" w:firstColumn="0" w:lastColumn="0" w:oddVBand="0" w:evenVBand="0" w:oddHBand="0" w:evenHBand="0" w:firstRowFirstColumn="0" w:firstRowLastColumn="0" w:lastRowFirstColumn="0" w:lastRowLastColumn="0"/>
              <w:rPr>
                <w:b w:val="0"/>
                <w:lang w:val="fr-FR"/>
              </w:rPr>
            </w:pPr>
            <w:r w:rsidRPr="00A8041F">
              <w:rPr>
                <w:lang w:val="fr-FR"/>
              </w:rPr>
              <w:t>&gt; 15 jours</w:t>
            </w:r>
          </w:p>
          <w:p w14:paraId="2993E308" w14:textId="46E01059" w:rsidR="00FC4979" w:rsidRPr="00A8041F" w:rsidRDefault="00FC4979" w:rsidP="00BA1F72">
            <w:pPr>
              <w:pStyle w:val="Geenafstand"/>
              <w:jc w:val="center"/>
              <w:cnfStyle w:val="100000000000" w:firstRow="1" w:lastRow="0" w:firstColumn="0" w:lastColumn="0" w:oddVBand="0" w:evenVBand="0" w:oddHBand="0" w:evenHBand="0" w:firstRowFirstColumn="0" w:firstRowLastColumn="0" w:lastRowFirstColumn="0" w:lastRowLastColumn="0"/>
              <w:rPr>
                <w:lang w:val="fr-FR"/>
              </w:rPr>
            </w:pPr>
            <w:r w:rsidRPr="00A8041F">
              <w:rPr>
                <w:lang w:val="fr-FR"/>
              </w:rPr>
              <w:t>≤ 30 jours</w:t>
            </w:r>
          </w:p>
        </w:tc>
        <w:tc>
          <w:tcPr>
            <w:tcW w:w="922" w:type="pct"/>
            <w:gridSpan w:val="2"/>
            <w:vAlign w:val="top"/>
          </w:tcPr>
          <w:p w14:paraId="5CDD4AB0" w14:textId="439973CE" w:rsidR="00177588" w:rsidRPr="00A8041F" w:rsidRDefault="00FC4979" w:rsidP="00BA1F72">
            <w:pPr>
              <w:pStyle w:val="Geenafstand"/>
              <w:jc w:val="center"/>
              <w:cnfStyle w:val="100000000000" w:firstRow="1" w:lastRow="0" w:firstColumn="0" w:lastColumn="0" w:oddVBand="0" w:evenVBand="0" w:oddHBand="0" w:evenHBand="0" w:firstRowFirstColumn="0" w:firstRowLastColumn="0" w:lastRowFirstColumn="0" w:lastRowLastColumn="0"/>
              <w:rPr>
                <w:b w:val="0"/>
                <w:lang w:val="fr-FR"/>
              </w:rPr>
            </w:pPr>
            <w:r w:rsidRPr="00A8041F">
              <w:rPr>
                <w:lang w:val="fr-FR"/>
              </w:rPr>
              <w:t>&gt; 30 jours</w:t>
            </w:r>
          </w:p>
          <w:p w14:paraId="316A79FB" w14:textId="4FD9429C" w:rsidR="00FC4979" w:rsidRPr="00A8041F" w:rsidRDefault="00FC4979" w:rsidP="00BA1F72">
            <w:pPr>
              <w:pStyle w:val="Geenafstand"/>
              <w:jc w:val="center"/>
              <w:cnfStyle w:val="100000000000" w:firstRow="1" w:lastRow="0" w:firstColumn="0" w:lastColumn="0" w:oddVBand="0" w:evenVBand="0" w:oddHBand="0" w:evenHBand="0" w:firstRowFirstColumn="0" w:firstRowLastColumn="0" w:lastRowFirstColumn="0" w:lastRowLastColumn="0"/>
              <w:rPr>
                <w:b w:val="0"/>
                <w:lang w:val="fr-FR"/>
              </w:rPr>
            </w:pPr>
            <w:r w:rsidRPr="00A8041F">
              <w:rPr>
                <w:lang w:val="fr-FR"/>
              </w:rPr>
              <w:t>≤ 60 jours</w:t>
            </w:r>
          </w:p>
        </w:tc>
        <w:tc>
          <w:tcPr>
            <w:tcW w:w="897" w:type="pct"/>
            <w:gridSpan w:val="2"/>
            <w:vAlign w:val="top"/>
          </w:tcPr>
          <w:p w14:paraId="25D61811" w14:textId="0A021C09" w:rsidR="00FC4979" w:rsidRPr="00A8041F" w:rsidRDefault="00FC4979" w:rsidP="00BA1F72">
            <w:pPr>
              <w:pStyle w:val="Geenafstand"/>
              <w:jc w:val="center"/>
              <w:cnfStyle w:val="100000000000" w:firstRow="1" w:lastRow="0" w:firstColumn="0" w:lastColumn="0" w:oddVBand="0" w:evenVBand="0" w:oddHBand="0" w:evenHBand="0" w:firstRowFirstColumn="0" w:firstRowLastColumn="0" w:lastRowFirstColumn="0" w:lastRowLastColumn="0"/>
              <w:rPr>
                <w:lang w:val="fr-FR"/>
              </w:rPr>
            </w:pPr>
            <w:r w:rsidRPr="00A8041F">
              <w:rPr>
                <w:lang w:val="fr-FR"/>
              </w:rPr>
              <w:t>&gt; 60 jours</w:t>
            </w:r>
          </w:p>
        </w:tc>
      </w:tr>
      <w:tr w:rsidR="00FC4979" w:rsidRPr="00A8041F" w14:paraId="2099F02F" w14:textId="77777777" w:rsidTr="00B25337">
        <w:tc>
          <w:tcPr>
            <w:cnfStyle w:val="001000000000" w:firstRow="0" w:lastRow="0" w:firstColumn="1" w:lastColumn="0" w:oddVBand="0" w:evenVBand="0" w:oddHBand="0" w:evenHBand="0" w:firstRowFirstColumn="0" w:firstRowLastColumn="0" w:lastRowFirstColumn="0" w:lastRowLastColumn="0"/>
            <w:tcW w:w="1322" w:type="pct"/>
            <w:vAlign w:val="top"/>
          </w:tcPr>
          <w:p w14:paraId="1FD0E94B" w14:textId="77777777" w:rsidR="00FC4979" w:rsidRPr="00A8041F" w:rsidRDefault="00FC4979" w:rsidP="00FC4979">
            <w:pPr>
              <w:pStyle w:val="Geenafstand"/>
              <w:rPr>
                <w:lang w:val="fr-FR"/>
              </w:rPr>
            </w:pPr>
          </w:p>
        </w:tc>
        <w:tc>
          <w:tcPr>
            <w:tcW w:w="565" w:type="pct"/>
            <w:tcBorders>
              <w:top w:val="single" w:sz="8" w:space="0" w:color="057A8B" w:themeColor="text2"/>
              <w:bottom w:val="single" w:sz="8" w:space="0" w:color="057A8B" w:themeColor="text2"/>
              <w:right w:val="single" w:sz="8" w:space="0" w:color="057A8B" w:themeColor="text2"/>
            </w:tcBorders>
            <w:vAlign w:val="top"/>
          </w:tcPr>
          <w:p w14:paraId="2C929ECA" w14:textId="37F02F14" w:rsidR="00FC4979" w:rsidRPr="00A8041F" w:rsidRDefault="00FC4979" w:rsidP="00B21423">
            <w:pPr>
              <w:pStyle w:val="Geenafstand"/>
              <w:jc w:val="right"/>
              <w:cnfStyle w:val="000000000000" w:firstRow="0" w:lastRow="0" w:firstColumn="0" w:lastColumn="0" w:oddVBand="0" w:evenVBand="0" w:oddHBand="0" w:evenHBand="0" w:firstRowFirstColumn="0" w:firstRowLastColumn="0" w:lastRowFirstColumn="0" w:lastRowLastColumn="0"/>
              <w:rPr>
                <w:b/>
                <w:bCs/>
                <w:lang w:val="fr-FR"/>
              </w:rPr>
            </w:pPr>
            <w:r w:rsidRPr="00A8041F">
              <w:rPr>
                <w:b/>
                <w:bCs/>
                <w:lang w:val="fr-FR"/>
              </w:rPr>
              <w:t>Nombre</w:t>
            </w:r>
          </w:p>
        </w:tc>
        <w:tc>
          <w:tcPr>
            <w:tcW w:w="365" w:type="pct"/>
            <w:tcBorders>
              <w:top w:val="single" w:sz="8" w:space="0" w:color="057A8B" w:themeColor="text2"/>
              <w:left w:val="single" w:sz="8" w:space="0" w:color="057A8B" w:themeColor="text2"/>
              <w:bottom w:val="single" w:sz="8" w:space="0" w:color="057A8B" w:themeColor="text2"/>
              <w:right w:val="single" w:sz="8" w:space="0" w:color="057A8B" w:themeColor="text2"/>
            </w:tcBorders>
            <w:vAlign w:val="top"/>
          </w:tcPr>
          <w:p w14:paraId="0FE27C3C" w14:textId="19230058" w:rsidR="00FC4979" w:rsidRPr="00A8041F" w:rsidRDefault="00FC4979" w:rsidP="00177588">
            <w:pPr>
              <w:pStyle w:val="Geenafstand"/>
              <w:jc w:val="right"/>
              <w:cnfStyle w:val="000000000000" w:firstRow="0" w:lastRow="0" w:firstColumn="0" w:lastColumn="0" w:oddVBand="0" w:evenVBand="0" w:oddHBand="0" w:evenHBand="0" w:firstRowFirstColumn="0" w:firstRowLastColumn="0" w:lastRowFirstColumn="0" w:lastRowLastColumn="0"/>
              <w:rPr>
                <w:b/>
                <w:bCs/>
                <w:lang w:val="fr-FR"/>
              </w:rPr>
            </w:pPr>
            <w:r w:rsidRPr="00A8041F">
              <w:rPr>
                <w:b/>
                <w:bCs/>
                <w:lang w:val="fr-FR"/>
              </w:rPr>
              <w:t>%</w:t>
            </w:r>
          </w:p>
        </w:tc>
        <w:tc>
          <w:tcPr>
            <w:tcW w:w="565" w:type="pct"/>
            <w:tcBorders>
              <w:top w:val="single" w:sz="8" w:space="0" w:color="057A8B" w:themeColor="text2"/>
              <w:left w:val="single" w:sz="8" w:space="0" w:color="057A8B" w:themeColor="text2"/>
              <w:bottom w:val="single" w:sz="8" w:space="0" w:color="057A8B" w:themeColor="text2"/>
              <w:right w:val="single" w:sz="8" w:space="0" w:color="057A8B" w:themeColor="text2"/>
            </w:tcBorders>
            <w:vAlign w:val="top"/>
          </w:tcPr>
          <w:p w14:paraId="7EC4BCE5" w14:textId="33B21A07" w:rsidR="00FC4979" w:rsidRPr="00A8041F" w:rsidRDefault="00FC4979" w:rsidP="00B21423">
            <w:pPr>
              <w:pStyle w:val="Geenafstand"/>
              <w:jc w:val="right"/>
              <w:cnfStyle w:val="000000000000" w:firstRow="0" w:lastRow="0" w:firstColumn="0" w:lastColumn="0" w:oddVBand="0" w:evenVBand="0" w:oddHBand="0" w:evenHBand="0" w:firstRowFirstColumn="0" w:firstRowLastColumn="0" w:lastRowFirstColumn="0" w:lastRowLastColumn="0"/>
              <w:rPr>
                <w:b/>
                <w:bCs/>
                <w:lang w:val="fr-FR"/>
              </w:rPr>
            </w:pPr>
            <w:r w:rsidRPr="00A8041F">
              <w:rPr>
                <w:b/>
                <w:bCs/>
                <w:lang w:val="fr-FR"/>
              </w:rPr>
              <w:t>Nombre</w:t>
            </w:r>
          </w:p>
        </w:tc>
        <w:tc>
          <w:tcPr>
            <w:tcW w:w="365" w:type="pct"/>
            <w:tcBorders>
              <w:top w:val="single" w:sz="8" w:space="0" w:color="057A8B" w:themeColor="text2"/>
              <w:left w:val="single" w:sz="8" w:space="0" w:color="057A8B" w:themeColor="text2"/>
              <w:bottom w:val="single" w:sz="8" w:space="0" w:color="057A8B" w:themeColor="text2"/>
              <w:right w:val="single" w:sz="8" w:space="0" w:color="057A8B" w:themeColor="text2"/>
            </w:tcBorders>
            <w:vAlign w:val="top"/>
          </w:tcPr>
          <w:p w14:paraId="5C8F98BF" w14:textId="529D4FEA" w:rsidR="00FC4979" w:rsidRPr="00A8041F" w:rsidRDefault="00FC4979" w:rsidP="00177588">
            <w:pPr>
              <w:pStyle w:val="Geenafstand"/>
              <w:jc w:val="right"/>
              <w:cnfStyle w:val="000000000000" w:firstRow="0" w:lastRow="0" w:firstColumn="0" w:lastColumn="0" w:oddVBand="0" w:evenVBand="0" w:oddHBand="0" w:evenHBand="0" w:firstRowFirstColumn="0" w:firstRowLastColumn="0" w:lastRowFirstColumn="0" w:lastRowLastColumn="0"/>
              <w:rPr>
                <w:b/>
                <w:bCs/>
                <w:lang w:val="fr-FR"/>
              </w:rPr>
            </w:pPr>
            <w:r w:rsidRPr="00A8041F">
              <w:rPr>
                <w:b/>
                <w:bCs/>
                <w:lang w:val="fr-FR"/>
              </w:rPr>
              <w:t>%</w:t>
            </w:r>
          </w:p>
        </w:tc>
        <w:tc>
          <w:tcPr>
            <w:tcW w:w="565" w:type="pct"/>
            <w:tcBorders>
              <w:top w:val="single" w:sz="8" w:space="0" w:color="057A8B" w:themeColor="text2"/>
              <w:left w:val="single" w:sz="8" w:space="0" w:color="057A8B" w:themeColor="text2"/>
              <w:bottom w:val="single" w:sz="8" w:space="0" w:color="057A8B" w:themeColor="text2"/>
              <w:right w:val="single" w:sz="8" w:space="0" w:color="057A8B" w:themeColor="text2"/>
            </w:tcBorders>
            <w:vAlign w:val="top"/>
          </w:tcPr>
          <w:p w14:paraId="0BE3C576" w14:textId="46C6BFE2" w:rsidR="00FC4979" w:rsidRPr="00A8041F" w:rsidRDefault="00FC4979" w:rsidP="00B21423">
            <w:pPr>
              <w:pStyle w:val="Geenafstand"/>
              <w:jc w:val="right"/>
              <w:cnfStyle w:val="000000000000" w:firstRow="0" w:lastRow="0" w:firstColumn="0" w:lastColumn="0" w:oddVBand="0" w:evenVBand="0" w:oddHBand="0" w:evenHBand="0" w:firstRowFirstColumn="0" w:firstRowLastColumn="0" w:lastRowFirstColumn="0" w:lastRowLastColumn="0"/>
              <w:rPr>
                <w:b/>
                <w:bCs/>
                <w:lang w:val="fr-FR"/>
              </w:rPr>
            </w:pPr>
            <w:r w:rsidRPr="00A8041F">
              <w:rPr>
                <w:b/>
                <w:bCs/>
                <w:lang w:val="fr-FR"/>
              </w:rPr>
              <w:t>Nombre</w:t>
            </w:r>
          </w:p>
        </w:tc>
        <w:tc>
          <w:tcPr>
            <w:tcW w:w="357" w:type="pct"/>
            <w:tcBorders>
              <w:top w:val="single" w:sz="8" w:space="0" w:color="057A8B" w:themeColor="text2"/>
              <w:left w:val="single" w:sz="8" w:space="0" w:color="057A8B" w:themeColor="text2"/>
              <w:bottom w:val="single" w:sz="8" w:space="0" w:color="057A8B" w:themeColor="text2"/>
              <w:right w:val="single" w:sz="8" w:space="0" w:color="057A8B" w:themeColor="text2"/>
            </w:tcBorders>
            <w:vAlign w:val="top"/>
          </w:tcPr>
          <w:p w14:paraId="3C1AECD3" w14:textId="51BC2C66" w:rsidR="00FC4979" w:rsidRPr="00A8041F" w:rsidRDefault="00FC4979" w:rsidP="00177588">
            <w:pPr>
              <w:pStyle w:val="Geenafstand"/>
              <w:jc w:val="right"/>
              <w:cnfStyle w:val="000000000000" w:firstRow="0" w:lastRow="0" w:firstColumn="0" w:lastColumn="0" w:oddVBand="0" w:evenVBand="0" w:oddHBand="0" w:evenHBand="0" w:firstRowFirstColumn="0" w:firstRowLastColumn="0" w:lastRowFirstColumn="0" w:lastRowLastColumn="0"/>
              <w:rPr>
                <w:b/>
                <w:bCs/>
                <w:lang w:val="fr-FR"/>
              </w:rPr>
            </w:pPr>
            <w:r w:rsidRPr="00A8041F">
              <w:rPr>
                <w:b/>
                <w:bCs/>
                <w:lang w:val="fr-FR"/>
              </w:rPr>
              <w:t>%</w:t>
            </w:r>
          </w:p>
        </w:tc>
        <w:tc>
          <w:tcPr>
            <w:tcW w:w="565" w:type="pct"/>
            <w:tcBorders>
              <w:top w:val="single" w:sz="8" w:space="0" w:color="057A8B" w:themeColor="text2"/>
              <w:left w:val="single" w:sz="8" w:space="0" w:color="057A8B" w:themeColor="text2"/>
              <w:bottom w:val="single" w:sz="8" w:space="0" w:color="057A8B" w:themeColor="text2"/>
              <w:right w:val="single" w:sz="8" w:space="0" w:color="057A8B" w:themeColor="text2"/>
            </w:tcBorders>
            <w:vAlign w:val="top"/>
          </w:tcPr>
          <w:p w14:paraId="6FFC33E4" w14:textId="0FD34A6D" w:rsidR="00FC4979" w:rsidRPr="00A8041F" w:rsidRDefault="00FC4979" w:rsidP="00B21423">
            <w:pPr>
              <w:pStyle w:val="Geenafstand"/>
              <w:jc w:val="right"/>
              <w:cnfStyle w:val="000000000000" w:firstRow="0" w:lastRow="0" w:firstColumn="0" w:lastColumn="0" w:oddVBand="0" w:evenVBand="0" w:oddHBand="0" w:evenHBand="0" w:firstRowFirstColumn="0" w:firstRowLastColumn="0" w:lastRowFirstColumn="0" w:lastRowLastColumn="0"/>
              <w:rPr>
                <w:b/>
                <w:bCs/>
                <w:lang w:val="fr-FR"/>
              </w:rPr>
            </w:pPr>
            <w:r w:rsidRPr="00A8041F">
              <w:rPr>
                <w:b/>
                <w:bCs/>
                <w:lang w:val="fr-FR"/>
              </w:rPr>
              <w:t>Nombre</w:t>
            </w:r>
          </w:p>
        </w:tc>
        <w:tc>
          <w:tcPr>
            <w:tcW w:w="333" w:type="pct"/>
            <w:tcBorders>
              <w:top w:val="single" w:sz="8" w:space="0" w:color="057A8B" w:themeColor="text2"/>
              <w:left w:val="single" w:sz="8" w:space="0" w:color="057A8B" w:themeColor="text2"/>
              <w:bottom w:val="single" w:sz="8" w:space="0" w:color="057A8B" w:themeColor="text2"/>
              <w:right w:val="single" w:sz="8" w:space="0" w:color="057A8B" w:themeColor="text2"/>
            </w:tcBorders>
            <w:vAlign w:val="top"/>
          </w:tcPr>
          <w:p w14:paraId="395F987B" w14:textId="37DB0021" w:rsidR="00FC4979" w:rsidRPr="00A8041F" w:rsidRDefault="00FC4979" w:rsidP="00177588">
            <w:pPr>
              <w:pStyle w:val="Geenafstand"/>
              <w:jc w:val="right"/>
              <w:cnfStyle w:val="000000000000" w:firstRow="0" w:lastRow="0" w:firstColumn="0" w:lastColumn="0" w:oddVBand="0" w:evenVBand="0" w:oddHBand="0" w:evenHBand="0" w:firstRowFirstColumn="0" w:firstRowLastColumn="0" w:lastRowFirstColumn="0" w:lastRowLastColumn="0"/>
              <w:rPr>
                <w:b/>
                <w:bCs/>
                <w:lang w:val="fr-FR"/>
              </w:rPr>
            </w:pPr>
            <w:r w:rsidRPr="00A8041F">
              <w:rPr>
                <w:b/>
                <w:bCs/>
                <w:lang w:val="fr-FR"/>
              </w:rPr>
              <w:t>%</w:t>
            </w:r>
          </w:p>
        </w:tc>
      </w:tr>
      <w:tr w:rsidR="00B25337" w:rsidRPr="00A8041F" w14:paraId="00F00832" w14:textId="77777777" w:rsidTr="00B25337">
        <w:tc>
          <w:tcPr>
            <w:cnfStyle w:val="001000000000" w:firstRow="0" w:lastRow="0" w:firstColumn="1" w:lastColumn="0" w:oddVBand="0" w:evenVBand="0" w:oddHBand="0" w:evenHBand="0" w:firstRowFirstColumn="0" w:firstRowLastColumn="0" w:lastRowFirstColumn="0" w:lastRowLastColumn="0"/>
            <w:tcW w:w="1322" w:type="pct"/>
            <w:vAlign w:val="top"/>
          </w:tcPr>
          <w:p w14:paraId="04AD5A48" w14:textId="77777777" w:rsidR="00B25337" w:rsidRPr="00A8041F" w:rsidRDefault="00B25337" w:rsidP="00B25337">
            <w:pPr>
              <w:pStyle w:val="Geenafstand"/>
              <w:rPr>
                <w:lang w:val="fr-FR"/>
              </w:rPr>
            </w:pPr>
            <w:r w:rsidRPr="00A8041F">
              <w:rPr>
                <w:lang w:val="fr-FR"/>
              </w:rPr>
              <w:t>BELSPO</w:t>
            </w:r>
          </w:p>
        </w:tc>
        <w:tc>
          <w:tcPr>
            <w:tcW w:w="565" w:type="pct"/>
            <w:tcBorders>
              <w:top w:val="single" w:sz="8" w:space="0" w:color="057A8B" w:themeColor="text2"/>
            </w:tcBorders>
            <w:vAlign w:val="bottom"/>
          </w:tcPr>
          <w:p w14:paraId="096D30C2" w14:textId="22C1BDB2" w:rsidR="00B25337" w:rsidRPr="00A8041F" w:rsidRDefault="00B25337" w:rsidP="00B25337">
            <w:pPr>
              <w:pStyle w:val="Geenafstand"/>
              <w:jc w:val="right"/>
              <w:cnfStyle w:val="000000000000" w:firstRow="0" w:lastRow="0" w:firstColumn="0" w:lastColumn="0" w:oddVBand="0" w:evenVBand="0" w:oddHBand="0" w:evenHBand="0" w:firstRowFirstColumn="0" w:firstRowLastColumn="0" w:lastRowFirstColumn="0" w:lastRowLastColumn="0"/>
              <w:rPr>
                <w:lang w:val="fr-FR"/>
              </w:rPr>
            </w:pPr>
            <w:r w:rsidRPr="00EF4120">
              <w:t>766</w:t>
            </w:r>
          </w:p>
        </w:tc>
        <w:tc>
          <w:tcPr>
            <w:tcW w:w="365" w:type="pct"/>
            <w:tcBorders>
              <w:top w:val="single" w:sz="8" w:space="0" w:color="057A8B" w:themeColor="text2"/>
            </w:tcBorders>
            <w:vAlign w:val="bottom"/>
          </w:tcPr>
          <w:p w14:paraId="3CF44996" w14:textId="2A70EBC6" w:rsidR="00B25337" w:rsidRPr="00A8041F" w:rsidRDefault="00B25337" w:rsidP="00B25337">
            <w:pPr>
              <w:pStyle w:val="Geenafstand"/>
              <w:jc w:val="right"/>
              <w:cnfStyle w:val="000000000000" w:firstRow="0" w:lastRow="0" w:firstColumn="0" w:lastColumn="0" w:oddVBand="0" w:evenVBand="0" w:oddHBand="0" w:evenHBand="0" w:firstRowFirstColumn="0" w:firstRowLastColumn="0" w:lastRowFirstColumn="0" w:lastRowLastColumn="0"/>
              <w:rPr>
                <w:lang w:val="fr-FR"/>
              </w:rPr>
            </w:pPr>
            <w:r w:rsidRPr="00EF4120">
              <w:t>93%</w:t>
            </w:r>
          </w:p>
        </w:tc>
        <w:tc>
          <w:tcPr>
            <w:tcW w:w="565" w:type="pct"/>
            <w:tcBorders>
              <w:top w:val="single" w:sz="8" w:space="0" w:color="057A8B" w:themeColor="text2"/>
            </w:tcBorders>
            <w:vAlign w:val="bottom"/>
          </w:tcPr>
          <w:p w14:paraId="02B7C16F" w14:textId="498BA466" w:rsidR="00B25337" w:rsidRPr="00A8041F" w:rsidRDefault="00B25337" w:rsidP="00B25337">
            <w:pPr>
              <w:pStyle w:val="Geenafstand"/>
              <w:jc w:val="right"/>
              <w:cnfStyle w:val="000000000000" w:firstRow="0" w:lastRow="0" w:firstColumn="0" w:lastColumn="0" w:oddVBand="0" w:evenVBand="0" w:oddHBand="0" w:evenHBand="0" w:firstRowFirstColumn="0" w:firstRowLastColumn="0" w:lastRowFirstColumn="0" w:lastRowLastColumn="0"/>
              <w:rPr>
                <w:lang w:val="fr-FR"/>
              </w:rPr>
            </w:pPr>
            <w:r w:rsidRPr="00EF4120">
              <w:t>47</w:t>
            </w:r>
          </w:p>
        </w:tc>
        <w:tc>
          <w:tcPr>
            <w:tcW w:w="365" w:type="pct"/>
            <w:tcBorders>
              <w:top w:val="single" w:sz="8" w:space="0" w:color="057A8B" w:themeColor="text2"/>
            </w:tcBorders>
            <w:vAlign w:val="bottom"/>
          </w:tcPr>
          <w:p w14:paraId="5E846CCE" w14:textId="56DD21D3" w:rsidR="00B25337" w:rsidRPr="00A8041F" w:rsidRDefault="00B25337" w:rsidP="00B25337">
            <w:pPr>
              <w:pStyle w:val="Geenafstand"/>
              <w:jc w:val="right"/>
              <w:cnfStyle w:val="000000000000" w:firstRow="0" w:lastRow="0" w:firstColumn="0" w:lastColumn="0" w:oddVBand="0" w:evenVBand="0" w:oddHBand="0" w:evenHBand="0" w:firstRowFirstColumn="0" w:firstRowLastColumn="0" w:lastRowFirstColumn="0" w:lastRowLastColumn="0"/>
              <w:rPr>
                <w:lang w:val="fr-FR"/>
              </w:rPr>
            </w:pPr>
            <w:r w:rsidRPr="00EF4120">
              <w:t>6%</w:t>
            </w:r>
          </w:p>
        </w:tc>
        <w:tc>
          <w:tcPr>
            <w:tcW w:w="565" w:type="pct"/>
            <w:tcBorders>
              <w:top w:val="single" w:sz="8" w:space="0" w:color="057A8B" w:themeColor="text2"/>
            </w:tcBorders>
            <w:vAlign w:val="bottom"/>
          </w:tcPr>
          <w:p w14:paraId="194EFE7F" w14:textId="2943E6BD" w:rsidR="00B25337" w:rsidRPr="00A8041F" w:rsidRDefault="00B25337" w:rsidP="00B25337">
            <w:pPr>
              <w:pStyle w:val="Geenafstand"/>
              <w:jc w:val="right"/>
              <w:cnfStyle w:val="000000000000" w:firstRow="0" w:lastRow="0" w:firstColumn="0" w:lastColumn="0" w:oddVBand="0" w:evenVBand="0" w:oddHBand="0" w:evenHBand="0" w:firstRowFirstColumn="0" w:firstRowLastColumn="0" w:lastRowFirstColumn="0" w:lastRowLastColumn="0"/>
              <w:rPr>
                <w:lang w:val="fr-FR"/>
              </w:rPr>
            </w:pPr>
            <w:r w:rsidRPr="00EF4120">
              <w:t>10</w:t>
            </w:r>
          </w:p>
        </w:tc>
        <w:tc>
          <w:tcPr>
            <w:tcW w:w="357" w:type="pct"/>
            <w:tcBorders>
              <w:top w:val="single" w:sz="8" w:space="0" w:color="057A8B" w:themeColor="text2"/>
            </w:tcBorders>
            <w:vAlign w:val="bottom"/>
          </w:tcPr>
          <w:p w14:paraId="06860896" w14:textId="34702C8E" w:rsidR="00B25337" w:rsidRPr="00A8041F" w:rsidRDefault="00B25337" w:rsidP="00B25337">
            <w:pPr>
              <w:pStyle w:val="Geenafstand"/>
              <w:jc w:val="right"/>
              <w:cnfStyle w:val="000000000000" w:firstRow="0" w:lastRow="0" w:firstColumn="0" w:lastColumn="0" w:oddVBand="0" w:evenVBand="0" w:oddHBand="0" w:evenHBand="0" w:firstRowFirstColumn="0" w:firstRowLastColumn="0" w:lastRowFirstColumn="0" w:lastRowLastColumn="0"/>
              <w:rPr>
                <w:lang w:val="fr-FR"/>
              </w:rPr>
            </w:pPr>
            <w:r w:rsidRPr="00EF4120">
              <w:t>1%</w:t>
            </w:r>
          </w:p>
        </w:tc>
        <w:tc>
          <w:tcPr>
            <w:tcW w:w="565" w:type="pct"/>
            <w:tcBorders>
              <w:top w:val="single" w:sz="8" w:space="0" w:color="057A8B" w:themeColor="text2"/>
            </w:tcBorders>
            <w:vAlign w:val="bottom"/>
          </w:tcPr>
          <w:p w14:paraId="5F0409AE" w14:textId="4E6A19AE" w:rsidR="00B25337" w:rsidRPr="00A8041F" w:rsidRDefault="00B25337" w:rsidP="00B25337">
            <w:pPr>
              <w:pStyle w:val="Geenafstand"/>
              <w:jc w:val="right"/>
              <w:cnfStyle w:val="000000000000" w:firstRow="0" w:lastRow="0" w:firstColumn="0" w:lastColumn="0" w:oddVBand="0" w:evenVBand="0" w:oddHBand="0" w:evenHBand="0" w:firstRowFirstColumn="0" w:firstRowLastColumn="0" w:lastRowFirstColumn="0" w:lastRowLastColumn="0"/>
              <w:rPr>
                <w:lang w:val="fr-FR"/>
              </w:rPr>
            </w:pPr>
            <w:r w:rsidRPr="00EF4120">
              <w:t>3</w:t>
            </w:r>
          </w:p>
        </w:tc>
        <w:tc>
          <w:tcPr>
            <w:tcW w:w="333" w:type="pct"/>
            <w:tcBorders>
              <w:top w:val="single" w:sz="8" w:space="0" w:color="057A8B" w:themeColor="text2"/>
            </w:tcBorders>
            <w:vAlign w:val="bottom"/>
          </w:tcPr>
          <w:p w14:paraId="38F431FA" w14:textId="4A7171EC" w:rsidR="00B25337" w:rsidRPr="00A8041F" w:rsidRDefault="00B25337" w:rsidP="00B25337">
            <w:pPr>
              <w:pStyle w:val="Geenafstand"/>
              <w:jc w:val="right"/>
              <w:cnfStyle w:val="000000000000" w:firstRow="0" w:lastRow="0" w:firstColumn="0" w:lastColumn="0" w:oddVBand="0" w:evenVBand="0" w:oddHBand="0" w:evenHBand="0" w:firstRowFirstColumn="0" w:firstRowLastColumn="0" w:lastRowFirstColumn="0" w:lastRowLastColumn="0"/>
              <w:rPr>
                <w:lang w:val="fr-FR"/>
              </w:rPr>
            </w:pPr>
            <w:r w:rsidRPr="00EF4120">
              <w:t>0%</w:t>
            </w:r>
          </w:p>
        </w:tc>
      </w:tr>
      <w:tr w:rsidR="00B25337" w:rsidRPr="00A8041F" w14:paraId="5C577A8C" w14:textId="77777777" w:rsidTr="00B25337">
        <w:tc>
          <w:tcPr>
            <w:cnfStyle w:val="001000000000" w:firstRow="0" w:lastRow="0" w:firstColumn="1" w:lastColumn="0" w:oddVBand="0" w:evenVBand="0" w:oddHBand="0" w:evenHBand="0" w:firstRowFirstColumn="0" w:firstRowLastColumn="0" w:lastRowFirstColumn="0" w:lastRowLastColumn="0"/>
            <w:tcW w:w="1322" w:type="pct"/>
            <w:vAlign w:val="top"/>
          </w:tcPr>
          <w:p w14:paraId="13770DA8" w14:textId="77777777" w:rsidR="00B25337" w:rsidRPr="00A8041F" w:rsidRDefault="00B25337" w:rsidP="00B25337">
            <w:pPr>
              <w:pStyle w:val="Geenafstand"/>
              <w:rPr>
                <w:lang w:val="fr-FR"/>
              </w:rPr>
            </w:pPr>
            <w:r w:rsidRPr="00A8041F">
              <w:rPr>
                <w:lang w:val="fr-FR"/>
              </w:rPr>
              <w:t xml:space="preserve">Police fédérale </w:t>
            </w:r>
          </w:p>
        </w:tc>
        <w:tc>
          <w:tcPr>
            <w:tcW w:w="565" w:type="pct"/>
            <w:vAlign w:val="bottom"/>
          </w:tcPr>
          <w:p w14:paraId="59538EF1" w14:textId="27831F3D" w:rsidR="00B25337" w:rsidRPr="00A8041F" w:rsidRDefault="00B25337" w:rsidP="00B25337">
            <w:pPr>
              <w:pStyle w:val="Geenafstand"/>
              <w:jc w:val="right"/>
              <w:cnfStyle w:val="000000000000" w:firstRow="0" w:lastRow="0" w:firstColumn="0" w:lastColumn="0" w:oddVBand="0" w:evenVBand="0" w:oddHBand="0" w:evenHBand="0" w:firstRowFirstColumn="0" w:firstRowLastColumn="0" w:lastRowFirstColumn="0" w:lastRowLastColumn="0"/>
              <w:rPr>
                <w:lang w:val="fr-FR"/>
              </w:rPr>
            </w:pPr>
            <w:r w:rsidRPr="00EF4120">
              <w:t>13.086</w:t>
            </w:r>
          </w:p>
        </w:tc>
        <w:tc>
          <w:tcPr>
            <w:tcW w:w="365" w:type="pct"/>
            <w:vAlign w:val="bottom"/>
          </w:tcPr>
          <w:p w14:paraId="759F9FA2" w14:textId="27AED00A" w:rsidR="00B25337" w:rsidRPr="00A8041F" w:rsidRDefault="00B25337" w:rsidP="00B25337">
            <w:pPr>
              <w:pStyle w:val="Geenafstand"/>
              <w:jc w:val="right"/>
              <w:cnfStyle w:val="000000000000" w:firstRow="0" w:lastRow="0" w:firstColumn="0" w:lastColumn="0" w:oddVBand="0" w:evenVBand="0" w:oddHBand="0" w:evenHBand="0" w:firstRowFirstColumn="0" w:firstRowLastColumn="0" w:lastRowFirstColumn="0" w:lastRowLastColumn="0"/>
              <w:rPr>
                <w:lang w:val="fr-FR"/>
              </w:rPr>
            </w:pPr>
            <w:r w:rsidRPr="00EF4120">
              <w:t>74%</w:t>
            </w:r>
          </w:p>
        </w:tc>
        <w:tc>
          <w:tcPr>
            <w:tcW w:w="565" w:type="pct"/>
            <w:vAlign w:val="bottom"/>
          </w:tcPr>
          <w:p w14:paraId="07BBF78D" w14:textId="76A7AC49" w:rsidR="00B25337" w:rsidRPr="00A8041F" w:rsidRDefault="00B25337" w:rsidP="00B25337">
            <w:pPr>
              <w:pStyle w:val="Geenafstand"/>
              <w:jc w:val="right"/>
              <w:cnfStyle w:val="000000000000" w:firstRow="0" w:lastRow="0" w:firstColumn="0" w:lastColumn="0" w:oddVBand="0" w:evenVBand="0" w:oddHBand="0" w:evenHBand="0" w:firstRowFirstColumn="0" w:firstRowLastColumn="0" w:lastRowFirstColumn="0" w:lastRowLastColumn="0"/>
              <w:rPr>
                <w:lang w:val="fr-FR"/>
              </w:rPr>
            </w:pPr>
            <w:r w:rsidRPr="00EF4120">
              <w:t>2.548</w:t>
            </w:r>
          </w:p>
        </w:tc>
        <w:tc>
          <w:tcPr>
            <w:tcW w:w="365" w:type="pct"/>
            <w:vAlign w:val="bottom"/>
          </w:tcPr>
          <w:p w14:paraId="51148CB3" w14:textId="443473F6" w:rsidR="00B25337" w:rsidRPr="00A8041F" w:rsidRDefault="00B25337" w:rsidP="00B25337">
            <w:pPr>
              <w:pStyle w:val="Geenafstand"/>
              <w:jc w:val="right"/>
              <w:cnfStyle w:val="000000000000" w:firstRow="0" w:lastRow="0" w:firstColumn="0" w:lastColumn="0" w:oddVBand="0" w:evenVBand="0" w:oddHBand="0" w:evenHBand="0" w:firstRowFirstColumn="0" w:firstRowLastColumn="0" w:lastRowFirstColumn="0" w:lastRowLastColumn="0"/>
              <w:rPr>
                <w:lang w:val="fr-FR"/>
              </w:rPr>
            </w:pPr>
            <w:r w:rsidRPr="00EF4120">
              <w:t>14%</w:t>
            </w:r>
          </w:p>
        </w:tc>
        <w:tc>
          <w:tcPr>
            <w:tcW w:w="565" w:type="pct"/>
            <w:vAlign w:val="bottom"/>
          </w:tcPr>
          <w:p w14:paraId="1C669CE0" w14:textId="6DD1468A" w:rsidR="00B25337" w:rsidRPr="00A8041F" w:rsidRDefault="00B25337" w:rsidP="00B25337">
            <w:pPr>
              <w:pStyle w:val="Geenafstand"/>
              <w:jc w:val="right"/>
              <w:cnfStyle w:val="000000000000" w:firstRow="0" w:lastRow="0" w:firstColumn="0" w:lastColumn="0" w:oddVBand="0" w:evenVBand="0" w:oddHBand="0" w:evenHBand="0" w:firstRowFirstColumn="0" w:firstRowLastColumn="0" w:lastRowFirstColumn="0" w:lastRowLastColumn="0"/>
              <w:rPr>
                <w:lang w:val="fr-FR"/>
              </w:rPr>
            </w:pPr>
            <w:r w:rsidRPr="00EF4120">
              <w:t>1.293</w:t>
            </w:r>
          </w:p>
        </w:tc>
        <w:tc>
          <w:tcPr>
            <w:tcW w:w="357" w:type="pct"/>
            <w:vAlign w:val="bottom"/>
          </w:tcPr>
          <w:p w14:paraId="279CFBCB" w14:textId="67C95C33" w:rsidR="00B25337" w:rsidRPr="00A8041F" w:rsidRDefault="00B25337" w:rsidP="00B25337">
            <w:pPr>
              <w:pStyle w:val="Geenafstand"/>
              <w:jc w:val="right"/>
              <w:cnfStyle w:val="000000000000" w:firstRow="0" w:lastRow="0" w:firstColumn="0" w:lastColumn="0" w:oddVBand="0" w:evenVBand="0" w:oddHBand="0" w:evenHBand="0" w:firstRowFirstColumn="0" w:firstRowLastColumn="0" w:lastRowFirstColumn="0" w:lastRowLastColumn="0"/>
              <w:rPr>
                <w:lang w:val="fr-FR"/>
              </w:rPr>
            </w:pPr>
            <w:r w:rsidRPr="00EF4120">
              <w:t>7%</w:t>
            </w:r>
          </w:p>
        </w:tc>
        <w:tc>
          <w:tcPr>
            <w:tcW w:w="565" w:type="pct"/>
            <w:vAlign w:val="bottom"/>
          </w:tcPr>
          <w:p w14:paraId="4C7459FC" w14:textId="4A08DE7F" w:rsidR="00B25337" w:rsidRPr="00A8041F" w:rsidRDefault="00B25337" w:rsidP="00B25337">
            <w:pPr>
              <w:pStyle w:val="Geenafstand"/>
              <w:jc w:val="right"/>
              <w:cnfStyle w:val="000000000000" w:firstRow="0" w:lastRow="0" w:firstColumn="0" w:lastColumn="0" w:oddVBand="0" w:evenVBand="0" w:oddHBand="0" w:evenHBand="0" w:firstRowFirstColumn="0" w:firstRowLastColumn="0" w:lastRowFirstColumn="0" w:lastRowLastColumn="0"/>
              <w:rPr>
                <w:lang w:val="fr-FR"/>
              </w:rPr>
            </w:pPr>
            <w:r w:rsidRPr="00EF4120">
              <w:t>710</w:t>
            </w:r>
          </w:p>
        </w:tc>
        <w:tc>
          <w:tcPr>
            <w:tcW w:w="333" w:type="pct"/>
            <w:vAlign w:val="bottom"/>
          </w:tcPr>
          <w:p w14:paraId="26ACFE14" w14:textId="000C335E" w:rsidR="00B25337" w:rsidRPr="00A8041F" w:rsidRDefault="00B25337" w:rsidP="00B25337">
            <w:pPr>
              <w:pStyle w:val="Geenafstand"/>
              <w:jc w:val="right"/>
              <w:cnfStyle w:val="000000000000" w:firstRow="0" w:lastRow="0" w:firstColumn="0" w:lastColumn="0" w:oddVBand="0" w:evenVBand="0" w:oddHBand="0" w:evenHBand="0" w:firstRowFirstColumn="0" w:firstRowLastColumn="0" w:lastRowFirstColumn="0" w:lastRowLastColumn="0"/>
              <w:rPr>
                <w:lang w:val="fr-FR"/>
              </w:rPr>
            </w:pPr>
            <w:r w:rsidRPr="00EF4120">
              <w:t>4%</w:t>
            </w:r>
          </w:p>
        </w:tc>
      </w:tr>
      <w:tr w:rsidR="00B25337" w:rsidRPr="00A8041F" w14:paraId="5A6E5CF2" w14:textId="77777777" w:rsidTr="00B25337">
        <w:tc>
          <w:tcPr>
            <w:cnfStyle w:val="001000000000" w:firstRow="0" w:lastRow="0" w:firstColumn="1" w:lastColumn="0" w:oddVBand="0" w:evenVBand="0" w:oddHBand="0" w:evenHBand="0" w:firstRowFirstColumn="0" w:firstRowLastColumn="0" w:lastRowFirstColumn="0" w:lastRowLastColumn="0"/>
            <w:tcW w:w="1322" w:type="pct"/>
            <w:vAlign w:val="top"/>
          </w:tcPr>
          <w:p w14:paraId="23052F2B" w14:textId="77777777" w:rsidR="00B25337" w:rsidRPr="00A8041F" w:rsidRDefault="00B25337" w:rsidP="00B25337">
            <w:pPr>
              <w:pStyle w:val="Geenafstand"/>
              <w:rPr>
                <w:lang w:val="fr-FR"/>
              </w:rPr>
            </w:pPr>
            <w:r w:rsidRPr="00A8041F">
              <w:rPr>
                <w:lang w:val="fr-FR"/>
              </w:rPr>
              <w:t>SPF Intérieur</w:t>
            </w:r>
          </w:p>
        </w:tc>
        <w:tc>
          <w:tcPr>
            <w:tcW w:w="565" w:type="pct"/>
            <w:vAlign w:val="bottom"/>
          </w:tcPr>
          <w:p w14:paraId="18EF4417" w14:textId="054183B1" w:rsidR="00B25337" w:rsidRPr="00A8041F" w:rsidRDefault="00B25337" w:rsidP="00B25337">
            <w:pPr>
              <w:pStyle w:val="Geenafstand"/>
              <w:jc w:val="right"/>
              <w:cnfStyle w:val="000000000000" w:firstRow="0" w:lastRow="0" w:firstColumn="0" w:lastColumn="0" w:oddVBand="0" w:evenVBand="0" w:oddHBand="0" w:evenHBand="0" w:firstRowFirstColumn="0" w:firstRowLastColumn="0" w:lastRowFirstColumn="0" w:lastRowLastColumn="0"/>
              <w:rPr>
                <w:lang w:val="fr-FR"/>
              </w:rPr>
            </w:pPr>
            <w:r w:rsidRPr="00EF4120">
              <w:t>12.172</w:t>
            </w:r>
          </w:p>
        </w:tc>
        <w:tc>
          <w:tcPr>
            <w:tcW w:w="365" w:type="pct"/>
            <w:vAlign w:val="bottom"/>
          </w:tcPr>
          <w:p w14:paraId="2E13D410" w14:textId="0571BAB2" w:rsidR="00B25337" w:rsidRPr="00A8041F" w:rsidRDefault="00B25337" w:rsidP="00B25337">
            <w:pPr>
              <w:pStyle w:val="Geenafstand"/>
              <w:jc w:val="right"/>
              <w:cnfStyle w:val="000000000000" w:firstRow="0" w:lastRow="0" w:firstColumn="0" w:lastColumn="0" w:oddVBand="0" w:evenVBand="0" w:oddHBand="0" w:evenHBand="0" w:firstRowFirstColumn="0" w:firstRowLastColumn="0" w:lastRowFirstColumn="0" w:lastRowLastColumn="0"/>
              <w:rPr>
                <w:lang w:val="fr-FR"/>
              </w:rPr>
            </w:pPr>
            <w:r w:rsidRPr="00EF4120">
              <w:t>69%</w:t>
            </w:r>
          </w:p>
        </w:tc>
        <w:tc>
          <w:tcPr>
            <w:tcW w:w="565" w:type="pct"/>
            <w:vAlign w:val="bottom"/>
          </w:tcPr>
          <w:p w14:paraId="49BB3C02" w14:textId="50CA7CF1" w:rsidR="00B25337" w:rsidRPr="00A8041F" w:rsidRDefault="00B25337" w:rsidP="00B25337">
            <w:pPr>
              <w:pStyle w:val="Geenafstand"/>
              <w:jc w:val="right"/>
              <w:cnfStyle w:val="000000000000" w:firstRow="0" w:lastRow="0" w:firstColumn="0" w:lastColumn="0" w:oddVBand="0" w:evenVBand="0" w:oddHBand="0" w:evenHBand="0" w:firstRowFirstColumn="0" w:firstRowLastColumn="0" w:lastRowFirstColumn="0" w:lastRowLastColumn="0"/>
              <w:rPr>
                <w:lang w:val="fr-FR"/>
              </w:rPr>
            </w:pPr>
            <w:r w:rsidRPr="00EF4120">
              <w:t>3.112</w:t>
            </w:r>
          </w:p>
        </w:tc>
        <w:tc>
          <w:tcPr>
            <w:tcW w:w="365" w:type="pct"/>
            <w:vAlign w:val="bottom"/>
          </w:tcPr>
          <w:p w14:paraId="2EF9FC88" w14:textId="336CCA1A" w:rsidR="00B25337" w:rsidRPr="00A8041F" w:rsidRDefault="00B25337" w:rsidP="00B25337">
            <w:pPr>
              <w:pStyle w:val="Geenafstand"/>
              <w:jc w:val="right"/>
              <w:cnfStyle w:val="000000000000" w:firstRow="0" w:lastRow="0" w:firstColumn="0" w:lastColumn="0" w:oddVBand="0" w:evenVBand="0" w:oddHBand="0" w:evenHBand="0" w:firstRowFirstColumn="0" w:firstRowLastColumn="0" w:lastRowFirstColumn="0" w:lastRowLastColumn="0"/>
              <w:rPr>
                <w:lang w:val="fr-FR"/>
              </w:rPr>
            </w:pPr>
            <w:r w:rsidRPr="00EF4120">
              <w:t>18%</w:t>
            </w:r>
          </w:p>
        </w:tc>
        <w:tc>
          <w:tcPr>
            <w:tcW w:w="565" w:type="pct"/>
            <w:vAlign w:val="bottom"/>
          </w:tcPr>
          <w:p w14:paraId="4759C526" w14:textId="5208ADBB" w:rsidR="00B25337" w:rsidRPr="00A8041F" w:rsidRDefault="00B25337" w:rsidP="00B25337">
            <w:pPr>
              <w:pStyle w:val="Geenafstand"/>
              <w:jc w:val="right"/>
              <w:cnfStyle w:val="000000000000" w:firstRow="0" w:lastRow="0" w:firstColumn="0" w:lastColumn="0" w:oddVBand="0" w:evenVBand="0" w:oddHBand="0" w:evenHBand="0" w:firstRowFirstColumn="0" w:firstRowLastColumn="0" w:lastRowFirstColumn="0" w:lastRowLastColumn="0"/>
              <w:rPr>
                <w:lang w:val="fr-FR"/>
              </w:rPr>
            </w:pPr>
            <w:r w:rsidRPr="00EF4120">
              <w:t>1.780</w:t>
            </w:r>
          </w:p>
        </w:tc>
        <w:tc>
          <w:tcPr>
            <w:tcW w:w="357" w:type="pct"/>
            <w:vAlign w:val="bottom"/>
          </w:tcPr>
          <w:p w14:paraId="59ED112E" w14:textId="6F66C16D" w:rsidR="00B25337" w:rsidRPr="00A8041F" w:rsidRDefault="00B25337" w:rsidP="00B25337">
            <w:pPr>
              <w:pStyle w:val="Geenafstand"/>
              <w:jc w:val="right"/>
              <w:cnfStyle w:val="000000000000" w:firstRow="0" w:lastRow="0" w:firstColumn="0" w:lastColumn="0" w:oddVBand="0" w:evenVBand="0" w:oddHBand="0" w:evenHBand="0" w:firstRowFirstColumn="0" w:firstRowLastColumn="0" w:lastRowFirstColumn="0" w:lastRowLastColumn="0"/>
              <w:rPr>
                <w:lang w:val="fr-FR"/>
              </w:rPr>
            </w:pPr>
            <w:r w:rsidRPr="00EF4120">
              <w:t>10%</w:t>
            </w:r>
          </w:p>
        </w:tc>
        <w:tc>
          <w:tcPr>
            <w:tcW w:w="565" w:type="pct"/>
            <w:vAlign w:val="bottom"/>
          </w:tcPr>
          <w:p w14:paraId="76B8EB66" w14:textId="1E2F672D" w:rsidR="00B25337" w:rsidRPr="00A8041F" w:rsidRDefault="00B25337" w:rsidP="00B25337">
            <w:pPr>
              <w:pStyle w:val="Geenafstand"/>
              <w:jc w:val="right"/>
              <w:cnfStyle w:val="000000000000" w:firstRow="0" w:lastRow="0" w:firstColumn="0" w:lastColumn="0" w:oddVBand="0" w:evenVBand="0" w:oddHBand="0" w:evenHBand="0" w:firstRowFirstColumn="0" w:firstRowLastColumn="0" w:lastRowFirstColumn="0" w:lastRowLastColumn="0"/>
              <w:rPr>
                <w:lang w:val="fr-FR"/>
              </w:rPr>
            </w:pPr>
            <w:r w:rsidRPr="00EF4120">
              <w:t>656</w:t>
            </w:r>
          </w:p>
        </w:tc>
        <w:tc>
          <w:tcPr>
            <w:tcW w:w="333" w:type="pct"/>
            <w:vAlign w:val="bottom"/>
          </w:tcPr>
          <w:p w14:paraId="2F2B9228" w14:textId="621C9B9A" w:rsidR="00B25337" w:rsidRPr="00A8041F" w:rsidRDefault="00B25337" w:rsidP="00B25337">
            <w:pPr>
              <w:pStyle w:val="Geenafstand"/>
              <w:jc w:val="right"/>
              <w:cnfStyle w:val="000000000000" w:firstRow="0" w:lastRow="0" w:firstColumn="0" w:lastColumn="0" w:oddVBand="0" w:evenVBand="0" w:oddHBand="0" w:evenHBand="0" w:firstRowFirstColumn="0" w:firstRowLastColumn="0" w:lastRowFirstColumn="0" w:lastRowLastColumn="0"/>
              <w:rPr>
                <w:lang w:val="fr-FR"/>
              </w:rPr>
            </w:pPr>
            <w:r w:rsidRPr="00EF4120">
              <w:t>4%</w:t>
            </w:r>
          </w:p>
        </w:tc>
      </w:tr>
      <w:tr w:rsidR="00B25337" w:rsidRPr="00A8041F" w14:paraId="522CDF3B" w14:textId="77777777" w:rsidTr="00B25337">
        <w:tc>
          <w:tcPr>
            <w:cnfStyle w:val="001000000000" w:firstRow="0" w:lastRow="0" w:firstColumn="1" w:lastColumn="0" w:oddVBand="0" w:evenVBand="0" w:oddHBand="0" w:evenHBand="0" w:firstRowFirstColumn="0" w:firstRowLastColumn="0" w:lastRowFirstColumn="0" w:lastRowLastColumn="0"/>
            <w:tcW w:w="1322" w:type="pct"/>
            <w:vAlign w:val="top"/>
          </w:tcPr>
          <w:p w14:paraId="56F0A912" w14:textId="77777777" w:rsidR="00B25337" w:rsidRPr="00A8041F" w:rsidRDefault="00B25337" w:rsidP="00B25337">
            <w:pPr>
              <w:pStyle w:val="Geenafstand"/>
              <w:rPr>
                <w:lang w:val="fr-FR"/>
              </w:rPr>
            </w:pPr>
            <w:r w:rsidRPr="00A8041F">
              <w:rPr>
                <w:lang w:val="fr-FR"/>
              </w:rPr>
              <w:t>SPF BOSA</w:t>
            </w:r>
          </w:p>
        </w:tc>
        <w:tc>
          <w:tcPr>
            <w:tcW w:w="565" w:type="pct"/>
            <w:vAlign w:val="bottom"/>
          </w:tcPr>
          <w:p w14:paraId="69930CBA" w14:textId="1CF3A706" w:rsidR="00B25337" w:rsidRPr="00A8041F" w:rsidRDefault="00B25337" w:rsidP="00B25337">
            <w:pPr>
              <w:pStyle w:val="Geenafstand"/>
              <w:jc w:val="right"/>
              <w:cnfStyle w:val="000000000000" w:firstRow="0" w:lastRow="0" w:firstColumn="0" w:lastColumn="0" w:oddVBand="0" w:evenVBand="0" w:oddHBand="0" w:evenHBand="0" w:firstRowFirstColumn="0" w:firstRowLastColumn="0" w:lastRowFirstColumn="0" w:lastRowLastColumn="0"/>
              <w:rPr>
                <w:lang w:val="fr-FR"/>
              </w:rPr>
            </w:pPr>
            <w:r w:rsidRPr="00EF4120">
              <w:t>2.097</w:t>
            </w:r>
          </w:p>
        </w:tc>
        <w:tc>
          <w:tcPr>
            <w:tcW w:w="365" w:type="pct"/>
            <w:vAlign w:val="bottom"/>
          </w:tcPr>
          <w:p w14:paraId="495C18B5" w14:textId="2CC1578C" w:rsidR="00B25337" w:rsidRPr="00A8041F" w:rsidRDefault="00B25337" w:rsidP="00B25337">
            <w:pPr>
              <w:pStyle w:val="Geenafstand"/>
              <w:jc w:val="right"/>
              <w:cnfStyle w:val="000000000000" w:firstRow="0" w:lastRow="0" w:firstColumn="0" w:lastColumn="0" w:oddVBand="0" w:evenVBand="0" w:oddHBand="0" w:evenHBand="0" w:firstRowFirstColumn="0" w:firstRowLastColumn="0" w:lastRowFirstColumn="0" w:lastRowLastColumn="0"/>
              <w:rPr>
                <w:lang w:val="fr-FR"/>
              </w:rPr>
            </w:pPr>
            <w:r w:rsidRPr="00EF4120">
              <w:t>88%</w:t>
            </w:r>
          </w:p>
        </w:tc>
        <w:tc>
          <w:tcPr>
            <w:tcW w:w="565" w:type="pct"/>
            <w:vAlign w:val="bottom"/>
          </w:tcPr>
          <w:p w14:paraId="6D2CA920" w14:textId="42AA9D76" w:rsidR="00B25337" w:rsidRPr="00A8041F" w:rsidRDefault="00B25337" w:rsidP="00B25337">
            <w:pPr>
              <w:pStyle w:val="Geenafstand"/>
              <w:jc w:val="right"/>
              <w:cnfStyle w:val="000000000000" w:firstRow="0" w:lastRow="0" w:firstColumn="0" w:lastColumn="0" w:oddVBand="0" w:evenVBand="0" w:oddHBand="0" w:evenHBand="0" w:firstRowFirstColumn="0" w:firstRowLastColumn="0" w:lastRowFirstColumn="0" w:lastRowLastColumn="0"/>
              <w:rPr>
                <w:lang w:val="fr-FR"/>
              </w:rPr>
            </w:pPr>
            <w:r w:rsidRPr="00EF4120">
              <w:t>170</w:t>
            </w:r>
          </w:p>
        </w:tc>
        <w:tc>
          <w:tcPr>
            <w:tcW w:w="365" w:type="pct"/>
            <w:vAlign w:val="bottom"/>
          </w:tcPr>
          <w:p w14:paraId="65611481" w14:textId="7058C6E3" w:rsidR="00B25337" w:rsidRPr="00A8041F" w:rsidRDefault="00B25337" w:rsidP="00B25337">
            <w:pPr>
              <w:pStyle w:val="Geenafstand"/>
              <w:jc w:val="right"/>
              <w:cnfStyle w:val="000000000000" w:firstRow="0" w:lastRow="0" w:firstColumn="0" w:lastColumn="0" w:oddVBand="0" w:evenVBand="0" w:oddHBand="0" w:evenHBand="0" w:firstRowFirstColumn="0" w:firstRowLastColumn="0" w:lastRowFirstColumn="0" w:lastRowLastColumn="0"/>
              <w:rPr>
                <w:lang w:val="fr-FR"/>
              </w:rPr>
            </w:pPr>
            <w:r w:rsidRPr="00EF4120">
              <w:t>7%</w:t>
            </w:r>
          </w:p>
        </w:tc>
        <w:tc>
          <w:tcPr>
            <w:tcW w:w="565" w:type="pct"/>
            <w:vAlign w:val="bottom"/>
          </w:tcPr>
          <w:p w14:paraId="585C77A5" w14:textId="6C78811C" w:rsidR="00B25337" w:rsidRPr="00A8041F" w:rsidRDefault="00B25337" w:rsidP="00B25337">
            <w:pPr>
              <w:pStyle w:val="Geenafstand"/>
              <w:jc w:val="right"/>
              <w:cnfStyle w:val="000000000000" w:firstRow="0" w:lastRow="0" w:firstColumn="0" w:lastColumn="0" w:oddVBand="0" w:evenVBand="0" w:oddHBand="0" w:evenHBand="0" w:firstRowFirstColumn="0" w:firstRowLastColumn="0" w:lastRowFirstColumn="0" w:lastRowLastColumn="0"/>
              <w:rPr>
                <w:lang w:val="fr-FR"/>
              </w:rPr>
            </w:pPr>
            <w:r w:rsidRPr="00EF4120">
              <w:t>75</w:t>
            </w:r>
          </w:p>
        </w:tc>
        <w:tc>
          <w:tcPr>
            <w:tcW w:w="357" w:type="pct"/>
            <w:vAlign w:val="bottom"/>
          </w:tcPr>
          <w:p w14:paraId="6E66EC86" w14:textId="5F3EC095" w:rsidR="00B25337" w:rsidRPr="00A8041F" w:rsidRDefault="00B25337" w:rsidP="00B25337">
            <w:pPr>
              <w:pStyle w:val="Geenafstand"/>
              <w:jc w:val="right"/>
              <w:cnfStyle w:val="000000000000" w:firstRow="0" w:lastRow="0" w:firstColumn="0" w:lastColumn="0" w:oddVBand="0" w:evenVBand="0" w:oddHBand="0" w:evenHBand="0" w:firstRowFirstColumn="0" w:firstRowLastColumn="0" w:lastRowFirstColumn="0" w:lastRowLastColumn="0"/>
              <w:rPr>
                <w:lang w:val="fr-FR"/>
              </w:rPr>
            </w:pPr>
            <w:r w:rsidRPr="00EF4120">
              <w:t>3%</w:t>
            </w:r>
          </w:p>
        </w:tc>
        <w:tc>
          <w:tcPr>
            <w:tcW w:w="565" w:type="pct"/>
            <w:vAlign w:val="bottom"/>
          </w:tcPr>
          <w:p w14:paraId="7D8CCCFB" w14:textId="0E389769" w:rsidR="00B25337" w:rsidRPr="00A8041F" w:rsidRDefault="00B25337" w:rsidP="00B25337">
            <w:pPr>
              <w:pStyle w:val="Geenafstand"/>
              <w:jc w:val="right"/>
              <w:cnfStyle w:val="000000000000" w:firstRow="0" w:lastRow="0" w:firstColumn="0" w:lastColumn="0" w:oddVBand="0" w:evenVBand="0" w:oddHBand="0" w:evenHBand="0" w:firstRowFirstColumn="0" w:firstRowLastColumn="0" w:lastRowFirstColumn="0" w:lastRowLastColumn="0"/>
              <w:rPr>
                <w:lang w:val="fr-FR"/>
              </w:rPr>
            </w:pPr>
            <w:r w:rsidRPr="00EF4120">
              <w:t>31</w:t>
            </w:r>
          </w:p>
        </w:tc>
        <w:tc>
          <w:tcPr>
            <w:tcW w:w="333" w:type="pct"/>
            <w:vAlign w:val="bottom"/>
          </w:tcPr>
          <w:p w14:paraId="1DA0C693" w14:textId="4B54BF79" w:rsidR="00B25337" w:rsidRPr="00A8041F" w:rsidRDefault="00B25337" w:rsidP="00B25337">
            <w:pPr>
              <w:pStyle w:val="Geenafstand"/>
              <w:jc w:val="right"/>
              <w:cnfStyle w:val="000000000000" w:firstRow="0" w:lastRow="0" w:firstColumn="0" w:lastColumn="0" w:oddVBand="0" w:evenVBand="0" w:oddHBand="0" w:evenHBand="0" w:firstRowFirstColumn="0" w:firstRowLastColumn="0" w:lastRowFirstColumn="0" w:lastRowLastColumn="0"/>
              <w:rPr>
                <w:lang w:val="fr-FR"/>
              </w:rPr>
            </w:pPr>
            <w:r w:rsidRPr="00EF4120">
              <w:t>1%</w:t>
            </w:r>
          </w:p>
        </w:tc>
      </w:tr>
      <w:tr w:rsidR="00B25337" w:rsidRPr="00A8041F" w14:paraId="0228B385" w14:textId="77777777" w:rsidTr="00B25337">
        <w:tc>
          <w:tcPr>
            <w:cnfStyle w:val="001000000000" w:firstRow="0" w:lastRow="0" w:firstColumn="1" w:lastColumn="0" w:oddVBand="0" w:evenVBand="0" w:oddHBand="0" w:evenHBand="0" w:firstRowFirstColumn="0" w:firstRowLastColumn="0" w:lastRowFirstColumn="0" w:lastRowLastColumn="0"/>
            <w:tcW w:w="1322" w:type="pct"/>
            <w:vAlign w:val="top"/>
          </w:tcPr>
          <w:p w14:paraId="1E7CC01D" w14:textId="77777777" w:rsidR="00B25337" w:rsidRPr="00A8041F" w:rsidRDefault="00B25337" w:rsidP="00B25337">
            <w:pPr>
              <w:pStyle w:val="Geenafstand"/>
              <w:rPr>
                <w:lang w:val="fr-FR"/>
              </w:rPr>
            </w:pPr>
            <w:r w:rsidRPr="00A8041F">
              <w:rPr>
                <w:lang w:val="fr-FR"/>
              </w:rPr>
              <w:t>SPF Affaires étrangères</w:t>
            </w:r>
          </w:p>
        </w:tc>
        <w:tc>
          <w:tcPr>
            <w:tcW w:w="565" w:type="pct"/>
            <w:vAlign w:val="bottom"/>
          </w:tcPr>
          <w:p w14:paraId="32E2DEAB" w14:textId="450DB75C" w:rsidR="00B25337" w:rsidRPr="00A8041F" w:rsidRDefault="00B25337" w:rsidP="00B25337">
            <w:pPr>
              <w:pStyle w:val="Geenafstand"/>
              <w:jc w:val="right"/>
              <w:cnfStyle w:val="000000000000" w:firstRow="0" w:lastRow="0" w:firstColumn="0" w:lastColumn="0" w:oddVBand="0" w:evenVBand="0" w:oddHBand="0" w:evenHBand="0" w:firstRowFirstColumn="0" w:firstRowLastColumn="0" w:lastRowFirstColumn="0" w:lastRowLastColumn="0"/>
              <w:rPr>
                <w:lang w:val="fr-FR"/>
              </w:rPr>
            </w:pPr>
            <w:r w:rsidRPr="00EF4120">
              <w:t>2.050</w:t>
            </w:r>
          </w:p>
        </w:tc>
        <w:tc>
          <w:tcPr>
            <w:tcW w:w="365" w:type="pct"/>
            <w:vAlign w:val="bottom"/>
          </w:tcPr>
          <w:p w14:paraId="4485208F" w14:textId="4A5F904B" w:rsidR="00B25337" w:rsidRPr="00A8041F" w:rsidRDefault="00B25337" w:rsidP="00B25337">
            <w:pPr>
              <w:pStyle w:val="Geenafstand"/>
              <w:jc w:val="right"/>
              <w:cnfStyle w:val="000000000000" w:firstRow="0" w:lastRow="0" w:firstColumn="0" w:lastColumn="0" w:oddVBand="0" w:evenVBand="0" w:oddHBand="0" w:evenHBand="0" w:firstRowFirstColumn="0" w:firstRowLastColumn="0" w:lastRowFirstColumn="0" w:lastRowLastColumn="0"/>
              <w:rPr>
                <w:lang w:val="fr-FR"/>
              </w:rPr>
            </w:pPr>
            <w:r w:rsidRPr="00EF4120">
              <w:t>81%</w:t>
            </w:r>
          </w:p>
        </w:tc>
        <w:tc>
          <w:tcPr>
            <w:tcW w:w="565" w:type="pct"/>
            <w:vAlign w:val="bottom"/>
          </w:tcPr>
          <w:p w14:paraId="423EF101" w14:textId="6A2216AF" w:rsidR="00B25337" w:rsidRPr="00A8041F" w:rsidRDefault="00B25337" w:rsidP="00B25337">
            <w:pPr>
              <w:pStyle w:val="Geenafstand"/>
              <w:jc w:val="right"/>
              <w:cnfStyle w:val="000000000000" w:firstRow="0" w:lastRow="0" w:firstColumn="0" w:lastColumn="0" w:oddVBand="0" w:evenVBand="0" w:oddHBand="0" w:evenHBand="0" w:firstRowFirstColumn="0" w:firstRowLastColumn="0" w:lastRowFirstColumn="0" w:lastRowLastColumn="0"/>
              <w:rPr>
                <w:lang w:val="fr-FR"/>
              </w:rPr>
            </w:pPr>
            <w:r w:rsidRPr="00EF4120">
              <w:t>363</w:t>
            </w:r>
          </w:p>
        </w:tc>
        <w:tc>
          <w:tcPr>
            <w:tcW w:w="365" w:type="pct"/>
            <w:vAlign w:val="bottom"/>
          </w:tcPr>
          <w:p w14:paraId="03B09227" w14:textId="3434FB37" w:rsidR="00B25337" w:rsidRPr="00A8041F" w:rsidRDefault="00B25337" w:rsidP="00B25337">
            <w:pPr>
              <w:pStyle w:val="Geenafstand"/>
              <w:jc w:val="right"/>
              <w:cnfStyle w:val="000000000000" w:firstRow="0" w:lastRow="0" w:firstColumn="0" w:lastColumn="0" w:oddVBand="0" w:evenVBand="0" w:oddHBand="0" w:evenHBand="0" w:firstRowFirstColumn="0" w:firstRowLastColumn="0" w:lastRowFirstColumn="0" w:lastRowLastColumn="0"/>
              <w:rPr>
                <w:lang w:val="fr-FR"/>
              </w:rPr>
            </w:pPr>
            <w:r w:rsidRPr="00EF4120">
              <w:t>14%</w:t>
            </w:r>
          </w:p>
        </w:tc>
        <w:tc>
          <w:tcPr>
            <w:tcW w:w="565" w:type="pct"/>
            <w:vAlign w:val="bottom"/>
          </w:tcPr>
          <w:p w14:paraId="27E38D07" w14:textId="726CE05D" w:rsidR="00B25337" w:rsidRPr="00A8041F" w:rsidRDefault="00B25337" w:rsidP="00B25337">
            <w:pPr>
              <w:pStyle w:val="Geenafstand"/>
              <w:jc w:val="right"/>
              <w:cnfStyle w:val="000000000000" w:firstRow="0" w:lastRow="0" w:firstColumn="0" w:lastColumn="0" w:oddVBand="0" w:evenVBand="0" w:oddHBand="0" w:evenHBand="0" w:firstRowFirstColumn="0" w:firstRowLastColumn="0" w:lastRowFirstColumn="0" w:lastRowLastColumn="0"/>
              <w:rPr>
                <w:lang w:val="fr-FR"/>
              </w:rPr>
            </w:pPr>
            <w:r w:rsidRPr="00EF4120">
              <w:t>110</w:t>
            </w:r>
          </w:p>
        </w:tc>
        <w:tc>
          <w:tcPr>
            <w:tcW w:w="357" w:type="pct"/>
            <w:vAlign w:val="bottom"/>
          </w:tcPr>
          <w:p w14:paraId="5FA61B7C" w14:textId="4C293078" w:rsidR="00B25337" w:rsidRPr="00A8041F" w:rsidRDefault="00B25337" w:rsidP="00B25337">
            <w:pPr>
              <w:pStyle w:val="Geenafstand"/>
              <w:jc w:val="right"/>
              <w:cnfStyle w:val="000000000000" w:firstRow="0" w:lastRow="0" w:firstColumn="0" w:lastColumn="0" w:oddVBand="0" w:evenVBand="0" w:oddHBand="0" w:evenHBand="0" w:firstRowFirstColumn="0" w:firstRowLastColumn="0" w:lastRowFirstColumn="0" w:lastRowLastColumn="0"/>
              <w:rPr>
                <w:lang w:val="fr-FR"/>
              </w:rPr>
            </w:pPr>
            <w:r w:rsidRPr="00EF4120">
              <w:t>4%</w:t>
            </w:r>
          </w:p>
        </w:tc>
        <w:tc>
          <w:tcPr>
            <w:tcW w:w="565" w:type="pct"/>
            <w:vAlign w:val="bottom"/>
          </w:tcPr>
          <w:p w14:paraId="02794B01" w14:textId="0BD57A99" w:rsidR="00B25337" w:rsidRPr="00A8041F" w:rsidRDefault="00B25337" w:rsidP="00B25337">
            <w:pPr>
              <w:pStyle w:val="Geenafstand"/>
              <w:jc w:val="right"/>
              <w:cnfStyle w:val="000000000000" w:firstRow="0" w:lastRow="0" w:firstColumn="0" w:lastColumn="0" w:oddVBand="0" w:evenVBand="0" w:oddHBand="0" w:evenHBand="0" w:firstRowFirstColumn="0" w:firstRowLastColumn="0" w:lastRowFirstColumn="0" w:lastRowLastColumn="0"/>
              <w:rPr>
                <w:lang w:val="fr-FR"/>
              </w:rPr>
            </w:pPr>
            <w:r w:rsidRPr="00EF4120">
              <w:t>20</w:t>
            </w:r>
          </w:p>
        </w:tc>
        <w:tc>
          <w:tcPr>
            <w:tcW w:w="333" w:type="pct"/>
            <w:vAlign w:val="bottom"/>
          </w:tcPr>
          <w:p w14:paraId="023F0882" w14:textId="2C2AFCE8" w:rsidR="00B25337" w:rsidRPr="00A8041F" w:rsidRDefault="00B25337" w:rsidP="00B25337">
            <w:pPr>
              <w:pStyle w:val="Geenafstand"/>
              <w:jc w:val="right"/>
              <w:cnfStyle w:val="000000000000" w:firstRow="0" w:lastRow="0" w:firstColumn="0" w:lastColumn="0" w:oddVBand="0" w:evenVBand="0" w:oddHBand="0" w:evenHBand="0" w:firstRowFirstColumn="0" w:firstRowLastColumn="0" w:lastRowFirstColumn="0" w:lastRowLastColumn="0"/>
              <w:rPr>
                <w:lang w:val="fr-FR"/>
              </w:rPr>
            </w:pPr>
            <w:r w:rsidRPr="00EF4120">
              <w:t>1%</w:t>
            </w:r>
          </w:p>
        </w:tc>
      </w:tr>
      <w:tr w:rsidR="00B25337" w:rsidRPr="00A8041F" w14:paraId="20D0A574" w14:textId="77777777" w:rsidTr="00B25337">
        <w:tc>
          <w:tcPr>
            <w:cnfStyle w:val="001000000000" w:firstRow="0" w:lastRow="0" w:firstColumn="1" w:lastColumn="0" w:oddVBand="0" w:evenVBand="0" w:oddHBand="0" w:evenHBand="0" w:firstRowFirstColumn="0" w:firstRowLastColumn="0" w:lastRowFirstColumn="0" w:lastRowLastColumn="0"/>
            <w:tcW w:w="1322" w:type="pct"/>
            <w:vAlign w:val="top"/>
          </w:tcPr>
          <w:p w14:paraId="6E7BADE2" w14:textId="77777777" w:rsidR="00B25337" w:rsidRPr="00A8041F" w:rsidRDefault="00B25337" w:rsidP="00B25337">
            <w:pPr>
              <w:pStyle w:val="Geenafstand"/>
              <w:rPr>
                <w:lang w:val="fr-FR"/>
              </w:rPr>
            </w:pPr>
            <w:r w:rsidRPr="00A8041F">
              <w:rPr>
                <w:lang w:val="fr-FR"/>
              </w:rPr>
              <w:t>SPF Économie</w:t>
            </w:r>
          </w:p>
        </w:tc>
        <w:tc>
          <w:tcPr>
            <w:tcW w:w="565" w:type="pct"/>
            <w:vAlign w:val="bottom"/>
          </w:tcPr>
          <w:p w14:paraId="19CABCA1" w14:textId="7A671B63" w:rsidR="00B25337" w:rsidRPr="00A8041F" w:rsidRDefault="00B25337" w:rsidP="00B25337">
            <w:pPr>
              <w:pStyle w:val="Geenafstand"/>
              <w:jc w:val="right"/>
              <w:cnfStyle w:val="000000000000" w:firstRow="0" w:lastRow="0" w:firstColumn="0" w:lastColumn="0" w:oddVBand="0" w:evenVBand="0" w:oddHBand="0" w:evenHBand="0" w:firstRowFirstColumn="0" w:firstRowLastColumn="0" w:lastRowFirstColumn="0" w:lastRowLastColumn="0"/>
              <w:rPr>
                <w:lang w:val="fr-FR"/>
              </w:rPr>
            </w:pPr>
            <w:r w:rsidRPr="00EF4120">
              <w:t>3.763</w:t>
            </w:r>
          </w:p>
        </w:tc>
        <w:tc>
          <w:tcPr>
            <w:tcW w:w="365" w:type="pct"/>
            <w:vAlign w:val="bottom"/>
          </w:tcPr>
          <w:p w14:paraId="11B32AE8" w14:textId="75025280" w:rsidR="00B25337" w:rsidRPr="00A8041F" w:rsidRDefault="00B25337" w:rsidP="00B25337">
            <w:pPr>
              <w:pStyle w:val="Geenafstand"/>
              <w:jc w:val="right"/>
              <w:cnfStyle w:val="000000000000" w:firstRow="0" w:lastRow="0" w:firstColumn="0" w:lastColumn="0" w:oddVBand="0" w:evenVBand="0" w:oddHBand="0" w:evenHBand="0" w:firstRowFirstColumn="0" w:firstRowLastColumn="0" w:lastRowFirstColumn="0" w:lastRowLastColumn="0"/>
              <w:rPr>
                <w:lang w:val="fr-FR"/>
              </w:rPr>
            </w:pPr>
            <w:r w:rsidRPr="00EF4120">
              <w:t>62%</w:t>
            </w:r>
          </w:p>
        </w:tc>
        <w:tc>
          <w:tcPr>
            <w:tcW w:w="565" w:type="pct"/>
            <w:vAlign w:val="bottom"/>
          </w:tcPr>
          <w:p w14:paraId="2181C586" w14:textId="7E8A9469" w:rsidR="00B25337" w:rsidRPr="00A8041F" w:rsidRDefault="00B25337" w:rsidP="00B25337">
            <w:pPr>
              <w:pStyle w:val="Geenafstand"/>
              <w:jc w:val="right"/>
              <w:cnfStyle w:val="000000000000" w:firstRow="0" w:lastRow="0" w:firstColumn="0" w:lastColumn="0" w:oddVBand="0" w:evenVBand="0" w:oddHBand="0" w:evenHBand="0" w:firstRowFirstColumn="0" w:firstRowLastColumn="0" w:lastRowFirstColumn="0" w:lastRowLastColumn="0"/>
              <w:rPr>
                <w:lang w:val="fr-FR"/>
              </w:rPr>
            </w:pPr>
            <w:r w:rsidRPr="00EF4120">
              <w:t>1.881</w:t>
            </w:r>
          </w:p>
        </w:tc>
        <w:tc>
          <w:tcPr>
            <w:tcW w:w="365" w:type="pct"/>
            <w:vAlign w:val="bottom"/>
          </w:tcPr>
          <w:p w14:paraId="0A8364D9" w14:textId="4C73BFE0" w:rsidR="00B25337" w:rsidRPr="00A8041F" w:rsidRDefault="00B25337" w:rsidP="00B25337">
            <w:pPr>
              <w:pStyle w:val="Geenafstand"/>
              <w:jc w:val="right"/>
              <w:cnfStyle w:val="000000000000" w:firstRow="0" w:lastRow="0" w:firstColumn="0" w:lastColumn="0" w:oddVBand="0" w:evenVBand="0" w:oddHBand="0" w:evenHBand="0" w:firstRowFirstColumn="0" w:firstRowLastColumn="0" w:lastRowFirstColumn="0" w:lastRowLastColumn="0"/>
              <w:rPr>
                <w:lang w:val="fr-FR"/>
              </w:rPr>
            </w:pPr>
            <w:r w:rsidRPr="00EF4120">
              <w:t>31%</w:t>
            </w:r>
          </w:p>
        </w:tc>
        <w:tc>
          <w:tcPr>
            <w:tcW w:w="565" w:type="pct"/>
            <w:vAlign w:val="bottom"/>
          </w:tcPr>
          <w:p w14:paraId="6DC09107" w14:textId="5A5909EB" w:rsidR="00B25337" w:rsidRPr="00A8041F" w:rsidRDefault="00B25337" w:rsidP="00B25337">
            <w:pPr>
              <w:pStyle w:val="Geenafstand"/>
              <w:jc w:val="right"/>
              <w:cnfStyle w:val="000000000000" w:firstRow="0" w:lastRow="0" w:firstColumn="0" w:lastColumn="0" w:oddVBand="0" w:evenVBand="0" w:oddHBand="0" w:evenHBand="0" w:firstRowFirstColumn="0" w:firstRowLastColumn="0" w:lastRowFirstColumn="0" w:lastRowLastColumn="0"/>
              <w:rPr>
                <w:lang w:val="fr-FR"/>
              </w:rPr>
            </w:pPr>
            <w:r w:rsidRPr="00EF4120">
              <w:t>396</w:t>
            </w:r>
          </w:p>
        </w:tc>
        <w:tc>
          <w:tcPr>
            <w:tcW w:w="357" w:type="pct"/>
            <w:vAlign w:val="bottom"/>
          </w:tcPr>
          <w:p w14:paraId="0F889C3A" w14:textId="03AEE3FD" w:rsidR="00B25337" w:rsidRPr="00A8041F" w:rsidRDefault="00B25337" w:rsidP="00B25337">
            <w:pPr>
              <w:pStyle w:val="Geenafstand"/>
              <w:jc w:val="right"/>
              <w:cnfStyle w:val="000000000000" w:firstRow="0" w:lastRow="0" w:firstColumn="0" w:lastColumn="0" w:oddVBand="0" w:evenVBand="0" w:oddHBand="0" w:evenHBand="0" w:firstRowFirstColumn="0" w:firstRowLastColumn="0" w:lastRowFirstColumn="0" w:lastRowLastColumn="0"/>
              <w:rPr>
                <w:lang w:val="fr-FR"/>
              </w:rPr>
            </w:pPr>
            <w:r w:rsidRPr="00EF4120">
              <w:t>7%</w:t>
            </w:r>
          </w:p>
        </w:tc>
        <w:tc>
          <w:tcPr>
            <w:tcW w:w="565" w:type="pct"/>
            <w:vAlign w:val="bottom"/>
          </w:tcPr>
          <w:p w14:paraId="06DE1917" w14:textId="5CC2A202" w:rsidR="00B25337" w:rsidRPr="00A8041F" w:rsidRDefault="00B25337" w:rsidP="00B25337">
            <w:pPr>
              <w:pStyle w:val="Geenafstand"/>
              <w:jc w:val="right"/>
              <w:cnfStyle w:val="000000000000" w:firstRow="0" w:lastRow="0" w:firstColumn="0" w:lastColumn="0" w:oddVBand="0" w:evenVBand="0" w:oddHBand="0" w:evenHBand="0" w:firstRowFirstColumn="0" w:firstRowLastColumn="0" w:lastRowFirstColumn="0" w:lastRowLastColumn="0"/>
              <w:rPr>
                <w:lang w:val="fr-FR"/>
              </w:rPr>
            </w:pPr>
            <w:r w:rsidRPr="00EF4120">
              <w:t>29</w:t>
            </w:r>
          </w:p>
        </w:tc>
        <w:tc>
          <w:tcPr>
            <w:tcW w:w="333" w:type="pct"/>
            <w:vAlign w:val="bottom"/>
          </w:tcPr>
          <w:p w14:paraId="11754DCB" w14:textId="4A42C674" w:rsidR="00B25337" w:rsidRPr="00A8041F" w:rsidRDefault="00B25337" w:rsidP="00B25337">
            <w:pPr>
              <w:pStyle w:val="Geenafstand"/>
              <w:jc w:val="right"/>
              <w:cnfStyle w:val="000000000000" w:firstRow="0" w:lastRow="0" w:firstColumn="0" w:lastColumn="0" w:oddVBand="0" w:evenVBand="0" w:oddHBand="0" w:evenHBand="0" w:firstRowFirstColumn="0" w:firstRowLastColumn="0" w:lastRowFirstColumn="0" w:lastRowLastColumn="0"/>
              <w:rPr>
                <w:lang w:val="fr-FR"/>
              </w:rPr>
            </w:pPr>
            <w:r w:rsidRPr="00EF4120">
              <w:t>0%</w:t>
            </w:r>
          </w:p>
        </w:tc>
      </w:tr>
      <w:tr w:rsidR="00B25337" w:rsidRPr="00A8041F" w14:paraId="67A5E22B" w14:textId="77777777" w:rsidTr="00B25337">
        <w:tc>
          <w:tcPr>
            <w:cnfStyle w:val="001000000000" w:firstRow="0" w:lastRow="0" w:firstColumn="1" w:lastColumn="0" w:oddVBand="0" w:evenVBand="0" w:oddHBand="0" w:evenHBand="0" w:firstRowFirstColumn="0" w:firstRowLastColumn="0" w:lastRowFirstColumn="0" w:lastRowLastColumn="0"/>
            <w:tcW w:w="1322" w:type="pct"/>
            <w:vAlign w:val="top"/>
          </w:tcPr>
          <w:p w14:paraId="7F680D0F" w14:textId="77777777" w:rsidR="00B25337" w:rsidRPr="00A8041F" w:rsidRDefault="00B25337" w:rsidP="00B25337">
            <w:pPr>
              <w:pStyle w:val="Geenafstand"/>
              <w:rPr>
                <w:lang w:val="fr-FR"/>
              </w:rPr>
            </w:pPr>
            <w:r w:rsidRPr="00A8041F">
              <w:rPr>
                <w:lang w:val="fr-FR"/>
              </w:rPr>
              <w:t xml:space="preserve">SPF Santé </w:t>
            </w:r>
          </w:p>
        </w:tc>
        <w:tc>
          <w:tcPr>
            <w:tcW w:w="565" w:type="pct"/>
            <w:vAlign w:val="bottom"/>
          </w:tcPr>
          <w:p w14:paraId="55C9E1F2" w14:textId="497F51D8" w:rsidR="00B25337" w:rsidRPr="00A8041F" w:rsidRDefault="00B25337" w:rsidP="00B25337">
            <w:pPr>
              <w:pStyle w:val="Geenafstand"/>
              <w:jc w:val="right"/>
              <w:cnfStyle w:val="000000000000" w:firstRow="0" w:lastRow="0" w:firstColumn="0" w:lastColumn="0" w:oddVBand="0" w:evenVBand="0" w:oddHBand="0" w:evenHBand="0" w:firstRowFirstColumn="0" w:firstRowLastColumn="0" w:lastRowFirstColumn="0" w:lastRowLastColumn="0"/>
              <w:rPr>
                <w:lang w:val="fr-FR"/>
              </w:rPr>
            </w:pPr>
            <w:r w:rsidRPr="00EF4120">
              <w:t>1.342</w:t>
            </w:r>
          </w:p>
        </w:tc>
        <w:tc>
          <w:tcPr>
            <w:tcW w:w="365" w:type="pct"/>
            <w:vAlign w:val="bottom"/>
          </w:tcPr>
          <w:p w14:paraId="3CEDF787" w14:textId="52186AB3" w:rsidR="00B25337" w:rsidRPr="00A8041F" w:rsidRDefault="00B25337" w:rsidP="00B25337">
            <w:pPr>
              <w:pStyle w:val="Geenafstand"/>
              <w:jc w:val="right"/>
              <w:cnfStyle w:val="000000000000" w:firstRow="0" w:lastRow="0" w:firstColumn="0" w:lastColumn="0" w:oddVBand="0" w:evenVBand="0" w:oddHBand="0" w:evenHBand="0" w:firstRowFirstColumn="0" w:firstRowLastColumn="0" w:lastRowFirstColumn="0" w:lastRowLastColumn="0"/>
              <w:rPr>
                <w:lang w:val="fr-FR"/>
              </w:rPr>
            </w:pPr>
            <w:r w:rsidRPr="00EF4120">
              <w:t>27%</w:t>
            </w:r>
          </w:p>
        </w:tc>
        <w:tc>
          <w:tcPr>
            <w:tcW w:w="565" w:type="pct"/>
            <w:vAlign w:val="bottom"/>
          </w:tcPr>
          <w:p w14:paraId="103DBE21" w14:textId="6FC032F8" w:rsidR="00B25337" w:rsidRPr="00A8041F" w:rsidRDefault="00B25337" w:rsidP="00B25337">
            <w:pPr>
              <w:pStyle w:val="Geenafstand"/>
              <w:jc w:val="right"/>
              <w:cnfStyle w:val="000000000000" w:firstRow="0" w:lastRow="0" w:firstColumn="0" w:lastColumn="0" w:oddVBand="0" w:evenVBand="0" w:oddHBand="0" w:evenHBand="0" w:firstRowFirstColumn="0" w:firstRowLastColumn="0" w:lastRowFirstColumn="0" w:lastRowLastColumn="0"/>
              <w:rPr>
                <w:lang w:val="fr-FR"/>
              </w:rPr>
            </w:pPr>
            <w:r w:rsidRPr="00EF4120">
              <w:t>2.162</w:t>
            </w:r>
          </w:p>
        </w:tc>
        <w:tc>
          <w:tcPr>
            <w:tcW w:w="365" w:type="pct"/>
            <w:vAlign w:val="bottom"/>
          </w:tcPr>
          <w:p w14:paraId="2BB3A16D" w14:textId="5EFCFDC0" w:rsidR="00B25337" w:rsidRPr="00A8041F" w:rsidRDefault="00B25337" w:rsidP="00B25337">
            <w:pPr>
              <w:pStyle w:val="Geenafstand"/>
              <w:jc w:val="right"/>
              <w:cnfStyle w:val="000000000000" w:firstRow="0" w:lastRow="0" w:firstColumn="0" w:lastColumn="0" w:oddVBand="0" w:evenVBand="0" w:oddHBand="0" w:evenHBand="0" w:firstRowFirstColumn="0" w:firstRowLastColumn="0" w:lastRowFirstColumn="0" w:lastRowLastColumn="0"/>
              <w:rPr>
                <w:lang w:val="fr-FR"/>
              </w:rPr>
            </w:pPr>
            <w:r w:rsidRPr="00EF4120">
              <w:t>43%</w:t>
            </w:r>
          </w:p>
        </w:tc>
        <w:tc>
          <w:tcPr>
            <w:tcW w:w="565" w:type="pct"/>
            <w:vAlign w:val="bottom"/>
          </w:tcPr>
          <w:p w14:paraId="2544973C" w14:textId="4A020415" w:rsidR="00B25337" w:rsidRPr="00A8041F" w:rsidRDefault="00B25337" w:rsidP="00B25337">
            <w:pPr>
              <w:pStyle w:val="Geenafstand"/>
              <w:jc w:val="right"/>
              <w:cnfStyle w:val="000000000000" w:firstRow="0" w:lastRow="0" w:firstColumn="0" w:lastColumn="0" w:oddVBand="0" w:evenVBand="0" w:oddHBand="0" w:evenHBand="0" w:firstRowFirstColumn="0" w:firstRowLastColumn="0" w:lastRowFirstColumn="0" w:lastRowLastColumn="0"/>
              <w:rPr>
                <w:lang w:val="fr-FR"/>
              </w:rPr>
            </w:pPr>
            <w:r w:rsidRPr="00EF4120">
              <w:t>1.043</w:t>
            </w:r>
          </w:p>
        </w:tc>
        <w:tc>
          <w:tcPr>
            <w:tcW w:w="357" w:type="pct"/>
            <w:vAlign w:val="bottom"/>
          </w:tcPr>
          <w:p w14:paraId="536A9AF5" w14:textId="62F5C3EA" w:rsidR="00B25337" w:rsidRPr="00A8041F" w:rsidRDefault="00B25337" w:rsidP="00B25337">
            <w:pPr>
              <w:pStyle w:val="Geenafstand"/>
              <w:jc w:val="right"/>
              <w:cnfStyle w:val="000000000000" w:firstRow="0" w:lastRow="0" w:firstColumn="0" w:lastColumn="0" w:oddVBand="0" w:evenVBand="0" w:oddHBand="0" w:evenHBand="0" w:firstRowFirstColumn="0" w:firstRowLastColumn="0" w:lastRowFirstColumn="0" w:lastRowLastColumn="0"/>
              <w:rPr>
                <w:lang w:val="fr-FR"/>
              </w:rPr>
            </w:pPr>
            <w:r w:rsidRPr="00EF4120">
              <w:t>21%</w:t>
            </w:r>
          </w:p>
        </w:tc>
        <w:tc>
          <w:tcPr>
            <w:tcW w:w="565" w:type="pct"/>
            <w:vAlign w:val="bottom"/>
          </w:tcPr>
          <w:p w14:paraId="3BC791C1" w14:textId="392A5469" w:rsidR="00B25337" w:rsidRPr="00A8041F" w:rsidRDefault="00B25337" w:rsidP="00B25337">
            <w:pPr>
              <w:pStyle w:val="Geenafstand"/>
              <w:jc w:val="right"/>
              <w:cnfStyle w:val="000000000000" w:firstRow="0" w:lastRow="0" w:firstColumn="0" w:lastColumn="0" w:oddVBand="0" w:evenVBand="0" w:oddHBand="0" w:evenHBand="0" w:firstRowFirstColumn="0" w:firstRowLastColumn="0" w:lastRowFirstColumn="0" w:lastRowLastColumn="0"/>
              <w:rPr>
                <w:lang w:val="fr-FR"/>
              </w:rPr>
            </w:pPr>
            <w:r w:rsidRPr="00EF4120">
              <w:t>446</w:t>
            </w:r>
          </w:p>
        </w:tc>
        <w:tc>
          <w:tcPr>
            <w:tcW w:w="333" w:type="pct"/>
            <w:vAlign w:val="bottom"/>
          </w:tcPr>
          <w:p w14:paraId="722F7067" w14:textId="7F745B6A" w:rsidR="00B25337" w:rsidRPr="00A8041F" w:rsidRDefault="00B25337" w:rsidP="00B25337">
            <w:pPr>
              <w:pStyle w:val="Geenafstand"/>
              <w:jc w:val="right"/>
              <w:cnfStyle w:val="000000000000" w:firstRow="0" w:lastRow="0" w:firstColumn="0" w:lastColumn="0" w:oddVBand="0" w:evenVBand="0" w:oddHBand="0" w:evenHBand="0" w:firstRowFirstColumn="0" w:firstRowLastColumn="0" w:lastRowFirstColumn="0" w:lastRowLastColumn="0"/>
              <w:rPr>
                <w:lang w:val="fr-FR"/>
              </w:rPr>
            </w:pPr>
            <w:r w:rsidRPr="00EF4120">
              <w:t>9%</w:t>
            </w:r>
          </w:p>
        </w:tc>
      </w:tr>
      <w:tr w:rsidR="00B25337" w:rsidRPr="00A8041F" w14:paraId="2A00C5C1" w14:textId="77777777" w:rsidTr="00B25337">
        <w:tc>
          <w:tcPr>
            <w:cnfStyle w:val="001000000000" w:firstRow="0" w:lastRow="0" w:firstColumn="1" w:lastColumn="0" w:oddVBand="0" w:evenVBand="0" w:oddHBand="0" w:evenHBand="0" w:firstRowFirstColumn="0" w:firstRowLastColumn="0" w:lastRowFirstColumn="0" w:lastRowLastColumn="0"/>
            <w:tcW w:w="1322" w:type="pct"/>
            <w:vAlign w:val="top"/>
          </w:tcPr>
          <w:p w14:paraId="61E27378" w14:textId="77777777" w:rsidR="00B25337" w:rsidRPr="00A8041F" w:rsidRDefault="00B25337" w:rsidP="00B25337">
            <w:pPr>
              <w:pStyle w:val="Geenafstand"/>
              <w:rPr>
                <w:lang w:val="fr-FR"/>
              </w:rPr>
            </w:pPr>
            <w:r w:rsidRPr="00A8041F">
              <w:rPr>
                <w:lang w:val="fr-FR"/>
              </w:rPr>
              <w:t xml:space="preserve">SPF Justice </w:t>
            </w:r>
          </w:p>
        </w:tc>
        <w:tc>
          <w:tcPr>
            <w:tcW w:w="565" w:type="pct"/>
            <w:vAlign w:val="bottom"/>
          </w:tcPr>
          <w:p w14:paraId="4774B95B" w14:textId="1E51F28E" w:rsidR="00B25337" w:rsidRPr="00A8041F" w:rsidRDefault="00B25337" w:rsidP="00B25337">
            <w:pPr>
              <w:pStyle w:val="Geenafstand"/>
              <w:jc w:val="right"/>
              <w:cnfStyle w:val="000000000000" w:firstRow="0" w:lastRow="0" w:firstColumn="0" w:lastColumn="0" w:oddVBand="0" w:evenVBand="0" w:oddHBand="0" w:evenHBand="0" w:firstRowFirstColumn="0" w:firstRowLastColumn="0" w:lastRowFirstColumn="0" w:lastRowLastColumn="0"/>
              <w:rPr>
                <w:lang w:val="fr-FR"/>
              </w:rPr>
            </w:pPr>
            <w:r w:rsidRPr="00EF4120">
              <w:t>9.766</w:t>
            </w:r>
          </w:p>
        </w:tc>
        <w:tc>
          <w:tcPr>
            <w:tcW w:w="365" w:type="pct"/>
            <w:vAlign w:val="bottom"/>
          </w:tcPr>
          <w:p w14:paraId="63F7AE13" w14:textId="628150BE" w:rsidR="00B25337" w:rsidRPr="00A8041F" w:rsidRDefault="00B25337" w:rsidP="00B25337">
            <w:pPr>
              <w:pStyle w:val="Geenafstand"/>
              <w:jc w:val="right"/>
              <w:cnfStyle w:val="000000000000" w:firstRow="0" w:lastRow="0" w:firstColumn="0" w:lastColumn="0" w:oddVBand="0" w:evenVBand="0" w:oddHBand="0" w:evenHBand="0" w:firstRowFirstColumn="0" w:firstRowLastColumn="0" w:lastRowFirstColumn="0" w:lastRowLastColumn="0"/>
              <w:rPr>
                <w:lang w:val="fr-FR"/>
              </w:rPr>
            </w:pPr>
            <w:r w:rsidRPr="00EF4120">
              <w:t>30%</w:t>
            </w:r>
          </w:p>
        </w:tc>
        <w:tc>
          <w:tcPr>
            <w:tcW w:w="565" w:type="pct"/>
            <w:vAlign w:val="bottom"/>
          </w:tcPr>
          <w:p w14:paraId="2FDDFCD3" w14:textId="1EEB3C4F" w:rsidR="00B25337" w:rsidRPr="00A8041F" w:rsidRDefault="00B25337" w:rsidP="00B25337">
            <w:pPr>
              <w:pStyle w:val="Geenafstand"/>
              <w:jc w:val="right"/>
              <w:cnfStyle w:val="000000000000" w:firstRow="0" w:lastRow="0" w:firstColumn="0" w:lastColumn="0" w:oddVBand="0" w:evenVBand="0" w:oddHBand="0" w:evenHBand="0" w:firstRowFirstColumn="0" w:firstRowLastColumn="0" w:lastRowFirstColumn="0" w:lastRowLastColumn="0"/>
              <w:rPr>
                <w:lang w:val="fr-FR"/>
              </w:rPr>
            </w:pPr>
            <w:r w:rsidRPr="00EF4120">
              <w:t>14.137</w:t>
            </w:r>
          </w:p>
        </w:tc>
        <w:tc>
          <w:tcPr>
            <w:tcW w:w="365" w:type="pct"/>
            <w:vAlign w:val="bottom"/>
          </w:tcPr>
          <w:p w14:paraId="7238F009" w14:textId="4DDC697E" w:rsidR="00B25337" w:rsidRPr="00A8041F" w:rsidRDefault="00B25337" w:rsidP="00B25337">
            <w:pPr>
              <w:pStyle w:val="Geenafstand"/>
              <w:jc w:val="right"/>
              <w:cnfStyle w:val="000000000000" w:firstRow="0" w:lastRow="0" w:firstColumn="0" w:lastColumn="0" w:oddVBand="0" w:evenVBand="0" w:oddHBand="0" w:evenHBand="0" w:firstRowFirstColumn="0" w:firstRowLastColumn="0" w:lastRowFirstColumn="0" w:lastRowLastColumn="0"/>
              <w:rPr>
                <w:lang w:val="fr-FR"/>
              </w:rPr>
            </w:pPr>
            <w:r w:rsidRPr="00EF4120">
              <w:t>44%</w:t>
            </w:r>
          </w:p>
        </w:tc>
        <w:tc>
          <w:tcPr>
            <w:tcW w:w="565" w:type="pct"/>
            <w:vAlign w:val="bottom"/>
          </w:tcPr>
          <w:p w14:paraId="0D5D6AC1" w14:textId="5F510993" w:rsidR="00B25337" w:rsidRPr="00A8041F" w:rsidRDefault="00B25337" w:rsidP="00B25337">
            <w:pPr>
              <w:pStyle w:val="Geenafstand"/>
              <w:jc w:val="right"/>
              <w:cnfStyle w:val="000000000000" w:firstRow="0" w:lastRow="0" w:firstColumn="0" w:lastColumn="0" w:oddVBand="0" w:evenVBand="0" w:oddHBand="0" w:evenHBand="0" w:firstRowFirstColumn="0" w:firstRowLastColumn="0" w:lastRowFirstColumn="0" w:lastRowLastColumn="0"/>
              <w:rPr>
                <w:lang w:val="fr-FR"/>
              </w:rPr>
            </w:pPr>
            <w:r w:rsidRPr="00EF4120">
              <w:t>5.586</w:t>
            </w:r>
          </w:p>
        </w:tc>
        <w:tc>
          <w:tcPr>
            <w:tcW w:w="357" w:type="pct"/>
            <w:vAlign w:val="bottom"/>
          </w:tcPr>
          <w:p w14:paraId="53D52DBA" w14:textId="07D6EE65" w:rsidR="00B25337" w:rsidRPr="00A8041F" w:rsidRDefault="00B25337" w:rsidP="00B25337">
            <w:pPr>
              <w:pStyle w:val="Geenafstand"/>
              <w:jc w:val="right"/>
              <w:cnfStyle w:val="000000000000" w:firstRow="0" w:lastRow="0" w:firstColumn="0" w:lastColumn="0" w:oddVBand="0" w:evenVBand="0" w:oddHBand="0" w:evenHBand="0" w:firstRowFirstColumn="0" w:firstRowLastColumn="0" w:lastRowFirstColumn="0" w:lastRowLastColumn="0"/>
              <w:rPr>
                <w:lang w:val="fr-FR"/>
              </w:rPr>
            </w:pPr>
            <w:r w:rsidRPr="00EF4120">
              <w:t>17%</w:t>
            </w:r>
          </w:p>
        </w:tc>
        <w:tc>
          <w:tcPr>
            <w:tcW w:w="565" w:type="pct"/>
            <w:vAlign w:val="bottom"/>
          </w:tcPr>
          <w:p w14:paraId="34481A94" w14:textId="7CCCC667" w:rsidR="00B25337" w:rsidRPr="00A8041F" w:rsidRDefault="00B25337" w:rsidP="00B25337">
            <w:pPr>
              <w:pStyle w:val="Geenafstand"/>
              <w:jc w:val="right"/>
              <w:cnfStyle w:val="000000000000" w:firstRow="0" w:lastRow="0" w:firstColumn="0" w:lastColumn="0" w:oddVBand="0" w:evenVBand="0" w:oddHBand="0" w:evenHBand="0" w:firstRowFirstColumn="0" w:firstRowLastColumn="0" w:lastRowFirstColumn="0" w:lastRowLastColumn="0"/>
              <w:rPr>
                <w:lang w:val="fr-FR"/>
              </w:rPr>
            </w:pPr>
            <w:r w:rsidRPr="00EF4120">
              <w:t>2.595</w:t>
            </w:r>
          </w:p>
        </w:tc>
        <w:tc>
          <w:tcPr>
            <w:tcW w:w="333" w:type="pct"/>
            <w:vAlign w:val="bottom"/>
          </w:tcPr>
          <w:p w14:paraId="4D3069B8" w14:textId="11501571" w:rsidR="00B25337" w:rsidRPr="00A8041F" w:rsidRDefault="00B25337" w:rsidP="00B25337">
            <w:pPr>
              <w:pStyle w:val="Geenafstand"/>
              <w:jc w:val="right"/>
              <w:cnfStyle w:val="000000000000" w:firstRow="0" w:lastRow="0" w:firstColumn="0" w:lastColumn="0" w:oddVBand="0" w:evenVBand="0" w:oddHBand="0" w:evenHBand="0" w:firstRowFirstColumn="0" w:firstRowLastColumn="0" w:lastRowFirstColumn="0" w:lastRowLastColumn="0"/>
              <w:rPr>
                <w:lang w:val="fr-FR"/>
              </w:rPr>
            </w:pPr>
            <w:r w:rsidRPr="00EF4120">
              <w:t>8%</w:t>
            </w:r>
          </w:p>
        </w:tc>
      </w:tr>
      <w:tr w:rsidR="00B25337" w:rsidRPr="00A8041F" w14:paraId="7A2E8ED8" w14:textId="77777777" w:rsidTr="00B25337">
        <w:tc>
          <w:tcPr>
            <w:cnfStyle w:val="001000000000" w:firstRow="0" w:lastRow="0" w:firstColumn="1" w:lastColumn="0" w:oddVBand="0" w:evenVBand="0" w:oddHBand="0" w:evenHBand="0" w:firstRowFirstColumn="0" w:firstRowLastColumn="0" w:lastRowFirstColumn="0" w:lastRowLastColumn="0"/>
            <w:tcW w:w="1322" w:type="pct"/>
            <w:vAlign w:val="top"/>
          </w:tcPr>
          <w:p w14:paraId="7AAF48A3" w14:textId="77777777" w:rsidR="00B25337" w:rsidRPr="00A8041F" w:rsidRDefault="00B25337" w:rsidP="00B25337">
            <w:pPr>
              <w:pStyle w:val="Geenafstand"/>
              <w:rPr>
                <w:lang w:val="fr-FR"/>
              </w:rPr>
            </w:pPr>
            <w:r w:rsidRPr="00A8041F">
              <w:rPr>
                <w:lang w:val="fr-FR"/>
              </w:rPr>
              <w:t>SPF Chancellerie</w:t>
            </w:r>
          </w:p>
        </w:tc>
        <w:tc>
          <w:tcPr>
            <w:tcW w:w="565" w:type="pct"/>
            <w:vAlign w:val="bottom"/>
          </w:tcPr>
          <w:p w14:paraId="31829904" w14:textId="3D9480BE" w:rsidR="00B25337" w:rsidRPr="00A8041F" w:rsidRDefault="00B25337" w:rsidP="00B25337">
            <w:pPr>
              <w:pStyle w:val="Geenafstand"/>
              <w:jc w:val="right"/>
              <w:cnfStyle w:val="000000000000" w:firstRow="0" w:lastRow="0" w:firstColumn="0" w:lastColumn="0" w:oddVBand="0" w:evenVBand="0" w:oddHBand="0" w:evenHBand="0" w:firstRowFirstColumn="0" w:firstRowLastColumn="0" w:lastRowFirstColumn="0" w:lastRowLastColumn="0"/>
              <w:rPr>
                <w:lang w:val="fr-FR"/>
              </w:rPr>
            </w:pPr>
            <w:r w:rsidRPr="00EF4120">
              <w:t>1.011</w:t>
            </w:r>
          </w:p>
        </w:tc>
        <w:tc>
          <w:tcPr>
            <w:tcW w:w="365" w:type="pct"/>
            <w:vAlign w:val="bottom"/>
          </w:tcPr>
          <w:p w14:paraId="7A34F568" w14:textId="14AF39E7" w:rsidR="00B25337" w:rsidRPr="00A8041F" w:rsidRDefault="00B25337" w:rsidP="00B25337">
            <w:pPr>
              <w:pStyle w:val="Geenafstand"/>
              <w:jc w:val="right"/>
              <w:cnfStyle w:val="000000000000" w:firstRow="0" w:lastRow="0" w:firstColumn="0" w:lastColumn="0" w:oddVBand="0" w:evenVBand="0" w:oddHBand="0" w:evenHBand="0" w:firstRowFirstColumn="0" w:firstRowLastColumn="0" w:lastRowFirstColumn="0" w:lastRowLastColumn="0"/>
              <w:rPr>
                <w:lang w:val="fr-FR"/>
              </w:rPr>
            </w:pPr>
            <w:r w:rsidRPr="00EF4120">
              <w:t>56%</w:t>
            </w:r>
          </w:p>
        </w:tc>
        <w:tc>
          <w:tcPr>
            <w:tcW w:w="565" w:type="pct"/>
            <w:vAlign w:val="bottom"/>
          </w:tcPr>
          <w:p w14:paraId="5CB79782" w14:textId="25FA9FD6" w:rsidR="00B25337" w:rsidRPr="00A8041F" w:rsidRDefault="00B25337" w:rsidP="00B25337">
            <w:pPr>
              <w:pStyle w:val="Geenafstand"/>
              <w:jc w:val="right"/>
              <w:cnfStyle w:val="000000000000" w:firstRow="0" w:lastRow="0" w:firstColumn="0" w:lastColumn="0" w:oddVBand="0" w:evenVBand="0" w:oddHBand="0" w:evenHBand="0" w:firstRowFirstColumn="0" w:firstRowLastColumn="0" w:lastRowFirstColumn="0" w:lastRowLastColumn="0"/>
              <w:rPr>
                <w:lang w:val="fr-FR"/>
              </w:rPr>
            </w:pPr>
            <w:r w:rsidRPr="00EF4120">
              <w:t>534</w:t>
            </w:r>
          </w:p>
        </w:tc>
        <w:tc>
          <w:tcPr>
            <w:tcW w:w="365" w:type="pct"/>
            <w:vAlign w:val="bottom"/>
          </w:tcPr>
          <w:p w14:paraId="0A3C3278" w14:textId="1B83E9B7" w:rsidR="00B25337" w:rsidRPr="00A8041F" w:rsidRDefault="00B25337" w:rsidP="00B25337">
            <w:pPr>
              <w:pStyle w:val="Geenafstand"/>
              <w:jc w:val="right"/>
              <w:cnfStyle w:val="000000000000" w:firstRow="0" w:lastRow="0" w:firstColumn="0" w:lastColumn="0" w:oddVBand="0" w:evenVBand="0" w:oddHBand="0" w:evenHBand="0" w:firstRowFirstColumn="0" w:firstRowLastColumn="0" w:lastRowFirstColumn="0" w:lastRowLastColumn="0"/>
              <w:rPr>
                <w:lang w:val="fr-FR"/>
              </w:rPr>
            </w:pPr>
            <w:r w:rsidRPr="00EF4120">
              <w:t>29%</w:t>
            </w:r>
          </w:p>
        </w:tc>
        <w:tc>
          <w:tcPr>
            <w:tcW w:w="565" w:type="pct"/>
            <w:vAlign w:val="bottom"/>
          </w:tcPr>
          <w:p w14:paraId="4268C9B6" w14:textId="42AAD487" w:rsidR="00B25337" w:rsidRPr="00A8041F" w:rsidRDefault="00B25337" w:rsidP="00B25337">
            <w:pPr>
              <w:pStyle w:val="Geenafstand"/>
              <w:jc w:val="right"/>
              <w:cnfStyle w:val="000000000000" w:firstRow="0" w:lastRow="0" w:firstColumn="0" w:lastColumn="0" w:oddVBand="0" w:evenVBand="0" w:oddHBand="0" w:evenHBand="0" w:firstRowFirstColumn="0" w:firstRowLastColumn="0" w:lastRowFirstColumn="0" w:lastRowLastColumn="0"/>
              <w:rPr>
                <w:lang w:val="fr-FR"/>
              </w:rPr>
            </w:pPr>
            <w:r w:rsidRPr="00EF4120">
              <w:t>197</w:t>
            </w:r>
          </w:p>
        </w:tc>
        <w:tc>
          <w:tcPr>
            <w:tcW w:w="357" w:type="pct"/>
            <w:vAlign w:val="bottom"/>
          </w:tcPr>
          <w:p w14:paraId="490F13B9" w14:textId="0314392A" w:rsidR="00B25337" w:rsidRPr="00A8041F" w:rsidRDefault="00B25337" w:rsidP="00B25337">
            <w:pPr>
              <w:pStyle w:val="Geenafstand"/>
              <w:jc w:val="right"/>
              <w:cnfStyle w:val="000000000000" w:firstRow="0" w:lastRow="0" w:firstColumn="0" w:lastColumn="0" w:oddVBand="0" w:evenVBand="0" w:oddHBand="0" w:evenHBand="0" w:firstRowFirstColumn="0" w:firstRowLastColumn="0" w:lastRowFirstColumn="0" w:lastRowLastColumn="0"/>
              <w:rPr>
                <w:lang w:val="fr-FR"/>
              </w:rPr>
            </w:pPr>
            <w:r w:rsidRPr="00EF4120">
              <w:t>11%</w:t>
            </w:r>
          </w:p>
        </w:tc>
        <w:tc>
          <w:tcPr>
            <w:tcW w:w="565" w:type="pct"/>
            <w:vAlign w:val="bottom"/>
          </w:tcPr>
          <w:p w14:paraId="62747A6B" w14:textId="21DBAEEE" w:rsidR="00B25337" w:rsidRPr="00A8041F" w:rsidRDefault="00B25337" w:rsidP="00B25337">
            <w:pPr>
              <w:pStyle w:val="Geenafstand"/>
              <w:jc w:val="right"/>
              <w:cnfStyle w:val="000000000000" w:firstRow="0" w:lastRow="0" w:firstColumn="0" w:lastColumn="0" w:oddVBand="0" w:evenVBand="0" w:oddHBand="0" w:evenHBand="0" w:firstRowFirstColumn="0" w:firstRowLastColumn="0" w:lastRowFirstColumn="0" w:lastRowLastColumn="0"/>
              <w:rPr>
                <w:lang w:val="fr-FR"/>
              </w:rPr>
            </w:pPr>
            <w:r w:rsidRPr="00EF4120">
              <w:t>70</w:t>
            </w:r>
          </w:p>
        </w:tc>
        <w:tc>
          <w:tcPr>
            <w:tcW w:w="333" w:type="pct"/>
            <w:vAlign w:val="bottom"/>
          </w:tcPr>
          <w:p w14:paraId="29894F63" w14:textId="4572F6F5" w:rsidR="00B25337" w:rsidRPr="00A8041F" w:rsidRDefault="00B25337" w:rsidP="00B25337">
            <w:pPr>
              <w:pStyle w:val="Geenafstand"/>
              <w:jc w:val="right"/>
              <w:cnfStyle w:val="000000000000" w:firstRow="0" w:lastRow="0" w:firstColumn="0" w:lastColumn="0" w:oddVBand="0" w:evenVBand="0" w:oddHBand="0" w:evenHBand="0" w:firstRowFirstColumn="0" w:firstRowLastColumn="0" w:lastRowFirstColumn="0" w:lastRowLastColumn="0"/>
              <w:rPr>
                <w:lang w:val="fr-FR"/>
              </w:rPr>
            </w:pPr>
            <w:r w:rsidRPr="00EF4120">
              <w:t>4%</w:t>
            </w:r>
          </w:p>
        </w:tc>
      </w:tr>
      <w:tr w:rsidR="00B25337" w:rsidRPr="00A8041F" w14:paraId="6E875C58" w14:textId="77777777" w:rsidTr="00B25337">
        <w:tc>
          <w:tcPr>
            <w:cnfStyle w:val="001000000000" w:firstRow="0" w:lastRow="0" w:firstColumn="1" w:lastColumn="0" w:oddVBand="0" w:evenVBand="0" w:oddHBand="0" w:evenHBand="0" w:firstRowFirstColumn="0" w:firstRowLastColumn="0" w:lastRowFirstColumn="0" w:lastRowLastColumn="0"/>
            <w:tcW w:w="1322" w:type="pct"/>
            <w:vAlign w:val="top"/>
          </w:tcPr>
          <w:p w14:paraId="672AFB56" w14:textId="77777777" w:rsidR="00B25337" w:rsidRPr="00A8041F" w:rsidRDefault="00B25337" w:rsidP="00B25337">
            <w:pPr>
              <w:pStyle w:val="Geenafstand"/>
              <w:rPr>
                <w:lang w:val="fr-FR"/>
              </w:rPr>
            </w:pPr>
            <w:r w:rsidRPr="00A8041F">
              <w:rPr>
                <w:lang w:val="fr-FR"/>
              </w:rPr>
              <w:t xml:space="preserve">SPF Mobilité </w:t>
            </w:r>
          </w:p>
        </w:tc>
        <w:tc>
          <w:tcPr>
            <w:tcW w:w="565" w:type="pct"/>
            <w:vAlign w:val="bottom"/>
          </w:tcPr>
          <w:p w14:paraId="76F910A5" w14:textId="46D77881" w:rsidR="00B25337" w:rsidRPr="00A8041F" w:rsidRDefault="00B25337" w:rsidP="00B25337">
            <w:pPr>
              <w:pStyle w:val="Geenafstand"/>
              <w:jc w:val="right"/>
              <w:cnfStyle w:val="000000000000" w:firstRow="0" w:lastRow="0" w:firstColumn="0" w:lastColumn="0" w:oddVBand="0" w:evenVBand="0" w:oddHBand="0" w:evenHBand="0" w:firstRowFirstColumn="0" w:firstRowLastColumn="0" w:lastRowFirstColumn="0" w:lastRowLastColumn="0"/>
              <w:rPr>
                <w:lang w:val="fr-FR"/>
              </w:rPr>
            </w:pPr>
            <w:r w:rsidRPr="00EF4120">
              <w:t>1.665</w:t>
            </w:r>
          </w:p>
        </w:tc>
        <w:tc>
          <w:tcPr>
            <w:tcW w:w="365" w:type="pct"/>
            <w:vAlign w:val="bottom"/>
          </w:tcPr>
          <w:p w14:paraId="4C007430" w14:textId="78D62906" w:rsidR="00B25337" w:rsidRPr="00A8041F" w:rsidRDefault="00B25337" w:rsidP="00B25337">
            <w:pPr>
              <w:pStyle w:val="Geenafstand"/>
              <w:jc w:val="right"/>
              <w:cnfStyle w:val="000000000000" w:firstRow="0" w:lastRow="0" w:firstColumn="0" w:lastColumn="0" w:oddVBand="0" w:evenVBand="0" w:oddHBand="0" w:evenHBand="0" w:firstRowFirstColumn="0" w:firstRowLastColumn="0" w:lastRowFirstColumn="0" w:lastRowLastColumn="0"/>
              <w:rPr>
                <w:lang w:val="fr-FR"/>
              </w:rPr>
            </w:pPr>
            <w:r w:rsidRPr="00EF4120">
              <w:t>64%</w:t>
            </w:r>
          </w:p>
        </w:tc>
        <w:tc>
          <w:tcPr>
            <w:tcW w:w="565" w:type="pct"/>
            <w:vAlign w:val="bottom"/>
          </w:tcPr>
          <w:p w14:paraId="48764528" w14:textId="10CE9656" w:rsidR="00B25337" w:rsidRPr="00A8041F" w:rsidRDefault="00B25337" w:rsidP="00B25337">
            <w:pPr>
              <w:pStyle w:val="Geenafstand"/>
              <w:jc w:val="right"/>
              <w:cnfStyle w:val="000000000000" w:firstRow="0" w:lastRow="0" w:firstColumn="0" w:lastColumn="0" w:oddVBand="0" w:evenVBand="0" w:oddHBand="0" w:evenHBand="0" w:firstRowFirstColumn="0" w:firstRowLastColumn="0" w:lastRowFirstColumn="0" w:lastRowLastColumn="0"/>
              <w:rPr>
                <w:lang w:val="fr-FR"/>
              </w:rPr>
            </w:pPr>
            <w:r w:rsidRPr="00EF4120">
              <w:t>536</w:t>
            </w:r>
          </w:p>
        </w:tc>
        <w:tc>
          <w:tcPr>
            <w:tcW w:w="365" w:type="pct"/>
            <w:vAlign w:val="bottom"/>
          </w:tcPr>
          <w:p w14:paraId="7C47E2B3" w14:textId="6324EBEF" w:rsidR="00B25337" w:rsidRPr="00A8041F" w:rsidRDefault="00B25337" w:rsidP="00B25337">
            <w:pPr>
              <w:pStyle w:val="Geenafstand"/>
              <w:jc w:val="right"/>
              <w:cnfStyle w:val="000000000000" w:firstRow="0" w:lastRow="0" w:firstColumn="0" w:lastColumn="0" w:oddVBand="0" w:evenVBand="0" w:oddHBand="0" w:evenHBand="0" w:firstRowFirstColumn="0" w:firstRowLastColumn="0" w:lastRowFirstColumn="0" w:lastRowLastColumn="0"/>
              <w:rPr>
                <w:lang w:val="fr-FR"/>
              </w:rPr>
            </w:pPr>
            <w:r w:rsidRPr="00EF4120">
              <w:t>21%</w:t>
            </w:r>
          </w:p>
        </w:tc>
        <w:tc>
          <w:tcPr>
            <w:tcW w:w="565" w:type="pct"/>
            <w:vAlign w:val="bottom"/>
          </w:tcPr>
          <w:p w14:paraId="6CD0DEB1" w14:textId="24F8A002" w:rsidR="00B25337" w:rsidRPr="00A8041F" w:rsidRDefault="00B25337" w:rsidP="00B25337">
            <w:pPr>
              <w:pStyle w:val="Geenafstand"/>
              <w:jc w:val="right"/>
              <w:cnfStyle w:val="000000000000" w:firstRow="0" w:lastRow="0" w:firstColumn="0" w:lastColumn="0" w:oddVBand="0" w:evenVBand="0" w:oddHBand="0" w:evenHBand="0" w:firstRowFirstColumn="0" w:firstRowLastColumn="0" w:lastRowFirstColumn="0" w:lastRowLastColumn="0"/>
              <w:rPr>
                <w:lang w:val="fr-FR"/>
              </w:rPr>
            </w:pPr>
            <w:r w:rsidRPr="00EF4120">
              <w:t>288</w:t>
            </w:r>
          </w:p>
        </w:tc>
        <w:tc>
          <w:tcPr>
            <w:tcW w:w="357" w:type="pct"/>
            <w:vAlign w:val="bottom"/>
          </w:tcPr>
          <w:p w14:paraId="23FC1B46" w14:textId="542005AC" w:rsidR="00B25337" w:rsidRPr="00A8041F" w:rsidRDefault="00B25337" w:rsidP="00B25337">
            <w:pPr>
              <w:pStyle w:val="Geenafstand"/>
              <w:jc w:val="right"/>
              <w:cnfStyle w:val="000000000000" w:firstRow="0" w:lastRow="0" w:firstColumn="0" w:lastColumn="0" w:oddVBand="0" w:evenVBand="0" w:oddHBand="0" w:evenHBand="0" w:firstRowFirstColumn="0" w:firstRowLastColumn="0" w:lastRowFirstColumn="0" w:lastRowLastColumn="0"/>
              <w:rPr>
                <w:lang w:val="fr-FR"/>
              </w:rPr>
            </w:pPr>
            <w:r w:rsidRPr="00EF4120">
              <w:t>11%</w:t>
            </w:r>
          </w:p>
        </w:tc>
        <w:tc>
          <w:tcPr>
            <w:tcW w:w="565" w:type="pct"/>
            <w:vAlign w:val="bottom"/>
          </w:tcPr>
          <w:p w14:paraId="19AF005C" w14:textId="1F93D061" w:rsidR="00B25337" w:rsidRPr="00A8041F" w:rsidRDefault="00B25337" w:rsidP="00B25337">
            <w:pPr>
              <w:pStyle w:val="Geenafstand"/>
              <w:jc w:val="right"/>
              <w:cnfStyle w:val="000000000000" w:firstRow="0" w:lastRow="0" w:firstColumn="0" w:lastColumn="0" w:oddVBand="0" w:evenVBand="0" w:oddHBand="0" w:evenHBand="0" w:firstRowFirstColumn="0" w:firstRowLastColumn="0" w:lastRowFirstColumn="0" w:lastRowLastColumn="0"/>
              <w:rPr>
                <w:lang w:val="fr-FR"/>
              </w:rPr>
            </w:pPr>
            <w:r w:rsidRPr="00EF4120">
              <w:t>93</w:t>
            </w:r>
          </w:p>
        </w:tc>
        <w:tc>
          <w:tcPr>
            <w:tcW w:w="333" w:type="pct"/>
            <w:vAlign w:val="bottom"/>
          </w:tcPr>
          <w:p w14:paraId="69AD782D" w14:textId="1C314788" w:rsidR="00B25337" w:rsidRPr="00A8041F" w:rsidRDefault="00B25337" w:rsidP="00B25337">
            <w:pPr>
              <w:pStyle w:val="Geenafstand"/>
              <w:jc w:val="right"/>
              <w:cnfStyle w:val="000000000000" w:firstRow="0" w:lastRow="0" w:firstColumn="0" w:lastColumn="0" w:oddVBand="0" w:evenVBand="0" w:oddHBand="0" w:evenHBand="0" w:firstRowFirstColumn="0" w:firstRowLastColumn="0" w:lastRowFirstColumn="0" w:lastRowLastColumn="0"/>
              <w:rPr>
                <w:lang w:val="fr-FR"/>
              </w:rPr>
            </w:pPr>
            <w:r w:rsidRPr="00EF4120">
              <w:t>4%</w:t>
            </w:r>
          </w:p>
        </w:tc>
      </w:tr>
      <w:tr w:rsidR="00B25337" w:rsidRPr="00A8041F" w14:paraId="6C6DED81" w14:textId="77777777" w:rsidTr="00B25337">
        <w:tc>
          <w:tcPr>
            <w:cnfStyle w:val="001000000000" w:firstRow="0" w:lastRow="0" w:firstColumn="1" w:lastColumn="0" w:oddVBand="0" w:evenVBand="0" w:oddHBand="0" w:evenHBand="0" w:firstRowFirstColumn="0" w:firstRowLastColumn="0" w:lastRowFirstColumn="0" w:lastRowLastColumn="0"/>
            <w:tcW w:w="1322" w:type="pct"/>
            <w:vAlign w:val="top"/>
          </w:tcPr>
          <w:p w14:paraId="59EE9F51" w14:textId="77777777" w:rsidR="00B25337" w:rsidRPr="00A8041F" w:rsidRDefault="00B25337" w:rsidP="00B25337">
            <w:pPr>
              <w:pStyle w:val="Geenafstand"/>
              <w:rPr>
                <w:lang w:val="fr-FR"/>
              </w:rPr>
            </w:pPr>
            <w:r w:rsidRPr="00A8041F">
              <w:rPr>
                <w:lang w:val="fr-FR"/>
              </w:rPr>
              <w:t>SPF Sécurité sociale</w:t>
            </w:r>
          </w:p>
        </w:tc>
        <w:tc>
          <w:tcPr>
            <w:tcW w:w="565" w:type="pct"/>
            <w:vAlign w:val="bottom"/>
          </w:tcPr>
          <w:p w14:paraId="3262D04D" w14:textId="5F43505F" w:rsidR="00B25337" w:rsidRPr="00A8041F" w:rsidRDefault="00B25337" w:rsidP="00B25337">
            <w:pPr>
              <w:pStyle w:val="Geenafstand"/>
              <w:jc w:val="right"/>
              <w:cnfStyle w:val="000000000000" w:firstRow="0" w:lastRow="0" w:firstColumn="0" w:lastColumn="0" w:oddVBand="0" w:evenVBand="0" w:oddHBand="0" w:evenHBand="0" w:firstRowFirstColumn="0" w:firstRowLastColumn="0" w:lastRowFirstColumn="0" w:lastRowLastColumn="0"/>
              <w:rPr>
                <w:lang w:val="fr-FR"/>
              </w:rPr>
            </w:pPr>
            <w:r w:rsidRPr="00EF4120">
              <w:t>2.469</w:t>
            </w:r>
          </w:p>
        </w:tc>
        <w:tc>
          <w:tcPr>
            <w:tcW w:w="365" w:type="pct"/>
            <w:vAlign w:val="bottom"/>
          </w:tcPr>
          <w:p w14:paraId="13DDE6B4" w14:textId="298080F4" w:rsidR="00B25337" w:rsidRPr="00A8041F" w:rsidRDefault="00B25337" w:rsidP="00B25337">
            <w:pPr>
              <w:pStyle w:val="Geenafstand"/>
              <w:jc w:val="right"/>
              <w:cnfStyle w:val="000000000000" w:firstRow="0" w:lastRow="0" w:firstColumn="0" w:lastColumn="0" w:oddVBand="0" w:evenVBand="0" w:oddHBand="0" w:evenHBand="0" w:firstRowFirstColumn="0" w:firstRowLastColumn="0" w:lastRowFirstColumn="0" w:lastRowLastColumn="0"/>
              <w:rPr>
                <w:lang w:val="fr-FR"/>
              </w:rPr>
            </w:pPr>
            <w:r w:rsidRPr="00EF4120">
              <w:t>98%</w:t>
            </w:r>
          </w:p>
        </w:tc>
        <w:tc>
          <w:tcPr>
            <w:tcW w:w="565" w:type="pct"/>
            <w:vAlign w:val="bottom"/>
          </w:tcPr>
          <w:p w14:paraId="42E83ADE" w14:textId="41AFB658" w:rsidR="00B25337" w:rsidRPr="00A8041F" w:rsidRDefault="00B25337" w:rsidP="00B25337">
            <w:pPr>
              <w:pStyle w:val="Geenafstand"/>
              <w:jc w:val="right"/>
              <w:cnfStyle w:val="000000000000" w:firstRow="0" w:lastRow="0" w:firstColumn="0" w:lastColumn="0" w:oddVBand="0" w:evenVBand="0" w:oddHBand="0" w:evenHBand="0" w:firstRowFirstColumn="0" w:firstRowLastColumn="0" w:lastRowFirstColumn="0" w:lastRowLastColumn="0"/>
              <w:rPr>
                <w:lang w:val="fr-FR"/>
              </w:rPr>
            </w:pPr>
            <w:r w:rsidRPr="00EF4120">
              <w:t>32</w:t>
            </w:r>
          </w:p>
        </w:tc>
        <w:tc>
          <w:tcPr>
            <w:tcW w:w="365" w:type="pct"/>
            <w:vAlign w:val="bottom"/>
          </w:tcPr>
          <w:p w14:paraId="62272852" w14:textId="6847F67D" w:rsidR="00B25337" w:rsidRPr="00A8041F" w:rsidRDefault="00B25337" w:rsidP="00B25337">
            <w:pPr>
              <w:pStyle w:val="Geenafstand"/>
              <w:jc w:val="right"/>
              <w:cnfStyle w:val="000000000000" w:firstRow="0" w:lastRow="0" w:firstColumn="0" w:lastColumn="0" w:oddVBand="0" w:evenVBand="0" w:oddHBand="0" w:evenHBand="0" w:firstRowFirstColumn="0" w:firstRowLastColumn="0" w:lastRowFirstColumn="0" w:lastRowLastColumn="0"/>
              <w:rPr>
                <w:lang w:val="fr-FR"/>
              </w:rPr>
            </w:pPr>
            <w:r w:rsidRPr="00EF4120">
              <w:t>1%</w:t>
            </w:r>
          </w:p>
        </w:tc>
        <w:tc>
          <w:tcPr>
            <w:tcW w:w="565" w:type="pct"/>
            <w:vAlign w:val="bottom"/>
          </w:tcPr>
          <w:p w14:paraId="1342AB2E" w14:textId="33DF4C7D" w:rsidR="00B25337" w:rsidRPr="00A8041F" w:rsidRDefault="00B25337" w:rsidP="00B25337">
            <w:pPr>
              <w:pStyle w:val="Geenafstand"/>
              <w:jc w:val="right"/>
              <w:cnfStyle w:val="000000000000" w:firstRow="0" w:lastRow="0" w:firstColumn="0" w:lastColumn="0" w:oddVBand="0" w:evenVBand="0" w:oddHBand="0" w:evenHBand="0" w:firstRowFirstColumn="0" w:firstRowLastColumn="0" w:lastRowFirstColumn="0" w:lastRowLastColumn="0"/>
              <w:rPr>
                <w:lang w:val="fr-FR"/>
              </w:rPr>
            </w:pPr>
            <w:r w:rsidRPr="00EF4120">
              <w:t>16</w:t>
            </w:r>
          </w:p>
        </w:tc>
        <w:tc>
          <w:tcPr>
            <w:tcW w:w="357" w:type="pct"/>
            <w:vAlign w:val="bottom"/>
          </w:tcPr>
          <w:p w14:paraId="7FADD1EF" w14:textId="6C8CD368" w:rsidR="00B25337" w:rsidRPr="00A8041F" w:rsidRDefault="00B25337" w:rsidP="00B25337">
            <w:pPr>
              <w:pStyle w:val="Geenafstand"/>
              <w:jc w:val="right"/>
              <w:cnfStyle w:val="000000000000" w:firstRow="0" w:lastRow="0" w:firstColumn="0" w:lastColumn="0" w:oddVBand="0" w:evenVBand="0" w:oddHBand="0" w:evenHBand="0" w:firstRowFirstColumn="0" w:firstRowLastColumn="0" w:lastRowFirstColumn="0" w:lastRowLastColumn="0"/>
              <w:rPr>
                <w:lang w:val="fr-FR"/>
              </w:rPr>
            </w:pPr>
            <w:r w:rsidRPr="00EF4120">
              <w:t>1%</w:t>
            </w:r>
          </w:p>
        </w:tc>
        <w:tc>
          <w:tcPr>
            <w:tcW w:w="565" w:type="pct"/>
            <w:vAlign w:val="bottom"/>
          </w:tcPr>
          <w:p w14:paraId="4A5BAFF1" w14:textId="4F0EC3B2" w:rsidR="00B25337" w:rsidRPr="00A8041F" w:rsidRDefault="00B25337" w:rsidP="00B25337">
            <w:pPr>
              <w:pStyle w:val="Geenafstand"/>
              <w:jc w:val="right"/>
              <w:cnfStyle w:val="000000000000" w:firstRow="0" w:lastRow="0" w:firstColumn="0" w:lastColumn="0" w:oddVBand="0" w:evenVBand="0" w:oddHBand="0" w:evenHBand="0" w:firstRowFirstColumn="0" w:firstRowLastColumn="0" w:lastRowFirstColumn="0" w:lastRowLastColumn="0"/>
              <w:rPr>
                <w:lang w:val="fr-FR"/>
              </w:rPr>
            </w:pPr>
            <w:r w:rsidRPr="00EF4120">
              <w:t>14</w:t>
            </w:r>
          </w:p>
        </w:tc>
        <w:tc>
          <w:tcPr>
            <w:tcW w:w="333" w:type="pct"/>
            <w:vAlign w:val="bottom"/>
          </w:tcPr>
          <w:p w14:paraId="3A797C9B" w14:textId="4A784059" w:rsidR="00B25337" w:rsidRPr="00A8041F" w:rsidRDefault="00B25337" w:rsidP="00B25337">
            <w:pPr>
              <w:pStyle w:val="Geenafstand"/>
              <w:jc w:val="right"/>
              <w:cnfStyle w:val="000000000000" w:firstRow="0" w:lastRow="0" w:firstColumn="0" w:lastColumn="0" w:oddVBand="0" w:evenVBand="0" w:oddHBand="0" w:evenHBand="0" w:firstRowFirstColumn="0" w:firstRowLastColumn="0" w:lastRowFirstColumn="0" w:lastRowLastColumn="0"/>
              <w:rPr>
                <w:lang w:val="fr-FR"/>
              </w:rPr>
            </w:pPr>
            <w:r w:rsidRPr="00EF4120">
              <w:t>1%</w:t>
            </w:r>
          </w:p>
        </w:tc>
      </w:tr>
      <w:tr w:rsidR="00B25337" w:rsidRPr="00A8041F" w14:paraId="4DC577E7" w14:textId="77777777" w:rsidTr="00B25337">
        <w:tc>
          <w:tcPr>
            <w:cnfStyle w:val="001000000000" w:firstRow="0" w:lastRow="0" w:firstColumn="1" w:lastColumn="0" w:oddVBand="0" w:evenVBand="0" w:oddHBand="0" w:evenHBand="0" w:firstRowFirstColumn="0" w:firstRowLastColumn="0" w:lastRowFirstColumn="0" w:lastRowLastColumn="0"/>
            <w:tcW w:w="1322" w:type="pct"/>
            <w:vAlign w:val="top"/>
          </w:tcPr>
          <w:p w14:paraId="503D6A3E" w14:textId="77777777" w:rsidR="00B25337" w:rsidRPr="00A8041F" w:rsidRDefault="00B25337" w:rsidP="00B25337">
            <w:pPr>
              <w:pStyle w:val="Geenafstand"/>
              <w:rPr>
                <w:lang w:val="fr-FR"/>
              </w:rPr>
            </w:pPr>
            <w:r w:rsidRPr="00A8041F">
              <w:rPr>
                <w:lang w:val="fr-FR"/>
              </w:rPr>
              <w:t>SPF Emploi</w:t>
            </w:r>
          </w:p>
        </w:tc>
        <w:tc>
          <w:tcPr>
            <w:tcW w:w="565" w:type="pct"/>
            <w:vAlign w:val="bottom"/>
          </w:tcPr>
          <w:p w14:paraId="5F21BA71" w14:textId="561C1CC2" w:rsidR="00B25337" w:rsidRPr="00A8041F" w:rsidRDefault="00B25337" w:rsidP="00B25337">
            <w:pPr>
              <w:pStyle w:val="Geenafstand"/>
              <w:jc w:val="right"/>
              <w:cnfStyle w:val="000000000000" w:firstRow="0" w:lastRow="0" w:firstColumn="0" w:lastColumn="0" w:oddVBand="0" w:evenVBand="0" w:oddHBand="0" w:evenHBand="0" w:firstRowFirstColumn="0" w:firstRowLastColumn="0" w:lastRowFirstColumn="0" w:lastRowLastColumn="0"/>
              <w:rPr>
                <w:lang w:val="fr-FR"/>
              </w:rPr>
            </w:pPr>
            <w:r w:rsidRPr="00EF4120">
              <w:t>1.478</w:t>
            </w:r>
          </w:p>
        </w:tc>
        <w:tc>
          <w:tcPr>
            <w:tcW w:w="365" w:type="pct"/>
            <w:vAlign w:val="bottom"/>
          </w:tcPr>
          <w:p w14:paraId="2BFA6CCD" w14:textId="765B5E98" w:rsidR="00B25337" w:rsidRPr="00A8041F" w:rsidRDefault="00B25337" w:rsidP="00B25337">
            <w:pPr>
              <w:pStyle w:val="Geenafstand"/>
              <w:jc w:val="right"/>
              <w:cnfStyle w:val="000000000000" w:firstRow="0" w:lastRow="0" w:firstColumn="0" w:lastColumn="0" w:oddVBand="0" w:evenVBand="0" w:oddHBand="0" w:evenHBand="0" w:firstRowFirstColumn="0" w:firstRowLastColumn="0" w:lastRowFirstColumn="0" w:lastRowLastColumn="0"/>
              <w:rPr>
                <w:lang w:val="fr-FR"/>
              </w:rPr>
            </w:pPr>
            <w:r w:rsidRPr="00EF4120">
              <w:t>72%</w:t>
            </w:r>
          </w:p>
        </w:tc>
        <w:tc>
          <w:tcPr>
            <w:tcW w:w="565" w:type="pct"/>
            <w:vAlign w:val="bottom"/>
          </w:tcPr>
          <w:p w14:paraId="412CAF97" w14:textId="487BD491" w:rsidR="00B25337" w:rsidRPr="00A8041F" w:rsidRDefault="00B25337" w:rsidP="00B25337">
            <w:pPr>
              <w:pStyle w:val="Geenafstand"/>
              <w:jc w:val="right"/>
              <w:cnfStyle w:val="000000000000" w:firstRow="0" w:lastRow="0" w:firstColumn="0" w:lastColumn="0" w:oddVBand="0" w:evenVBand="0" w:oddHBand="0" w:evenHBand="0" w:firstRowFirstColumn="0" w:firstRowLastColumn="0" w:lastRowFirstColumn="0" w:lastRowLastColumn="0"/>
              <w:rPr>
                <w:lang w:val="fr-FR"/>
              </w:rPr>
            </w:pPr>
            <w:r w:rsidRPr="00EF4120">
              <w:t>363</w:t>
            </w:r>
          </w:p>
        </w:tc>
        <w:tc>
          <w:tcPr>
            <w:tcW w:w="365" w:type="pct"/>
            <w:vAlign w:val="bottom"/>
          </w:tcPr>
          <w:p w14:paraId="6A5919C1" w14:textId="1B8AD8ED" w:rsidR="00B25337" w:rsidRPr="00A8041F" w:rsidRDefault="00B25337" w:rsidP="00B25337">
            <w:pPr>
              <w:pStyle w:val="Geenafstand"/>
              <w:jc w:val="right"/>
              <w:cnfStyle w:val="000000000000" w:firstRow="0" w:lastRow="0" w:firstColumn="0" w:lastColumn="0" w:oddVBand="0" w:evenVBand="0" w:oddHBand="0" w:evenHBand="0" w:firstRowFirstColumn="0" w:firstRowLastColumn="0" w:lastRowFirstColumn="0" w:lastRowLastColumn="0"/>
              <w:rPr>
                <w:lang w:val="fr-FR"/>
              </w:rPr>
            </w:pPr>
            <w:r w:rsidRPr="00EF4120">
              <w:t>18%</w:t>
            </w:r>
          </w:p>
        </w:tc>
        <w:tc>
          <w:tcPr>
            <w:tcW w:w="565" w:type="pct"/>
            <w:vAlign w:val="bottom"/>
          </w:tcPr>
          <w:p w14:paraId="773E0283" w14:textId="70012CE7" w:rsidR="00B25337" w:rsidRPr="00A8041F" w:rsidRDefault="00B25337" w:rsidP="00B25337">
            <w:pPr>
              <w:pStyle w:val="Geenafstand"/>
              <w:jc w:val="right"/>
              <w:cnfStyle w:val="000000000000" w:firstRow="0" w:lastRow="0" w:firstColumn="0" w:lastColumn="0" w:oddVBand="0" w:evenVBand="0" w:oddHBand="0" w:evenHBand="0" w:firstRowFirstColumn="0" w:firstRowLastColumn="0" w:lastRowFirstColumn="0" w:lastRowLastColumn="0"/>
              <w:rPr>
                <w:lang w:val="fr-FR"/>
              </w:rPr>
            </w:pPr>
            <w:r w:rsidRPr="00EF4120">
              <w:t>147</w:t>
            </w:r>
          </w:p>
        </w:tc>
        <w:tc>
          <w:tcPr>
            <w:tcW w:w="357" w:type="pct"/>
            <w:vAlign w:val="bottom"/>
          </w:tcPr>
          <w:p w14:paraId="20F35008" w14:textId="2FCC027D" w:rsidR="00B25337" w:rsidRPr="00A8041F" w:rsidRDefault="00B25337" w:rsidP="00B25337">
            <w:pPr>
              <w:pStyle w:val="Geenafstand"/>
              <w:jc w:val="right"/>
              <w:cnfStyle w:val="000000000000" w:firstRow="0" w:lastRow="0" w:firstColumn="0" w:lastColumn="0" w:oddVBand="0" w:evenVBand="0" w:oddHBand="0" w:evenHBand="0" w:firstRowFirstColumn="0" w:firstRowLastColumn="0" w:lastRowFirstColumn="0" w:lastRowLastColumn="0"/>
              <w:rPr>
                <w:lang w:val="fr-FR"/>
              </w:rPr>
            </w:pPr>
            <w:r w:rsidRPr="00EF4120">
              <w:t>7%</w:t>
            </w:r>
          </w:p>
        </w:tc>
        <w:tc>
          <w:tcPr>
            <w:tcW w:w="565" w:type="pct"/>
            <w:vAlign w:val="bottom"/>
          </w:tcPr>
          <w:p w14:paraId="315200E0" w14:textId="479D2433" w:rsidR="00B25337" w:rsidRPr="00A8041F" w:rsidRDefault="00B25337" w:rsidP="00B25337">
            <w:pPr>
              <w:pStyle w:val="Geenafstand"/>
              <w:jc w:val="right"/>
              <w:cnfStyle w:val="000000000000" w:firstRow="0" w:lastRow="0" w:firstColumn="0" w:lastColumn="0" w:oddVBand="0" w:evenVBand="0" w:oddHBand="0" w:evenHBand="0" w:firstRowFirstColumn="0" w:firstRowLastColumn="0" w:lastRowFirstColumn="0" w:lastRowLastColumn="0"/>
              <w:rPr>
                <w:lang w:val="fr-FR"/>
              </w:rPr>
            </w:pPr>
            <w:r w:rsidRPr="00EF4120">
              <w:t>53</w:t>
            </w:r>
          </w:p>
        </w:tc>
        <w:tc>
          <w:tcPr>
            <w:tcW w:w="333" w:type="pct"/>
            <w:vAlign w:val="bottom"/>
          </w:tcPr>
          <w:p w14:paraId="31F84D2B" w14:textId="156CBAE0" w:rsidR="00B25337" w:rsidRPr="00A8041F" w:rsidRDefault="00B25337" w:rsidP="00B25337">
            <w:pPr>
              <w:pStyle w:val="Geenafstand"/>
              <w:jc w:val="right"/>
              <w:cnfStyle w:val="000000000000" w:firstRow="0" w:lastRow="0" w:firstColumn="0" w:lastColumn="0" w:oddVBand="0" w:evenVBand="0" w:oddHBand="0" w:evenHBand="0" w:firstRowFirstColumn="0" w:firstRowLastColumn="0" w:lastRowFirstColumn="0" w:lastRowLastColumn="0"/>
              <w:rPr>
                <w:lang w:val="fr-FR"/>
              </w:rPr>
            </w:pPr>
            <w:r w:rsidRPr="00EF4120">
              <w:t>3%</w:t>
            </w:r>
          </w:p>
        </w:tc>
      </w:tr>
      <w:tr w:rsidR="00B25337" w:rsidRPr="00A8041F" w14:paraId="0DB28076" w14:textId="77777777" w:rsidTr="00B25337">
        <w:tc>
          <w:tcPr>
            <w:cnfStyle w:val="001000000000" w:firstRow="0" w:lastRow="0" w:firstColumn="1" w:lastColumn="0" w:oddVBand="0" w:evenVBand="0" w:oddHBand="0" w:evenHBand="0" w:firstRowFirstColumn="0" w:firstRowLastColumn="0" w:lastRowFirstColumn="0" w:lastRowLastColumn="0"/>
            <w:tcW w:w="1322" w:type="pct"/>
            <w:vAlign w:val="top"/>
          </w:tcPr>
          <w:p w14:paraId="2B95AA5E" w14:textId="77777777" w:rsidR="00B25337" w:rsidRPr="00A8041F" w:rsidRDefault="00B25337" w:rsidP="00B25337">
            <w:pPr>
              <w:pStyle w:val="Geenafstand"/>
              <w:rPr>
                <w:lang w:val="fr-FR"/>
              </w:rPr>
            </w:pPr>
            <w:r w:rsidRPr="00A8041F">
              <w:rPr>
                <w:lang w:val="fr-FR"/>
              </w:rPr>
              <w:t>Intégration sociale</w:t>
            </w:r>
          </w:p>
        </w:tc>
        <w:tc>
          <w:tcPr>
            <w:tcW w:w="565" w:type="pct"/>
            <w:vAlign w:val="bottom"/>
          </w:tcPr>
          <w:p w14:paraId="27B59CA2" w14:textId="39AF993E" w:rsidR="00B25337" w:rsidRPr="00A8041F" w:rsidRDefault="00B25337" w:rsidP="00B25337">
            <w:pPr>
              <w:pStyle w:val="Geenafstand"/>
              <w:jc w:val="right"/>
              <w:cnfStyle w:val="000000000000" w:firstRow="0" w:lastRow="0" w:firstColumn="0" w:lastColumn="0" w:oddVBand="0" w:evenVBand="0" w:oddHBand="0" w:evenHBand="0" w:firstRowFirstColumn="0" w:firstRowLastColumn="0" w:lastRowFirstColumn="0" w:lastRowLastColumn="0"/>
              <w:rPr>
                <w:lang w:val="fr-FR"/>
              </w:rPr>
            </w:pPr>
            <w:r w:rsidRPr="00EF4120">
              <w:t>236</w:t>
            </w:r>
          </w:p>
        </w:tc>
        <w:tc>
          <w:tcPr>
            <w:tcW w:w="365" w:type="pct"/>
            <w:vAlign w:val="bottom"/>
          </w:tcPr>
          <w:p w14:paraId="7D46CD70" w14:textId="51A83294" w:rsidR="00B25337" w:rsidRPr="00A8041F" w:rsidRDefault="00B25337" w:rsidP="00B25337">
            <w:pPr>
              <w:pStyle w:val="Geenafstand"/>
              <w:jc w:val="right"/>
              <w:cnfStyle w:val="000000000000" w:firstRow="0" w:lastRow="0" w:firstColumn="0" w:lastColumn="0" w:oddVBand="0" w:evenVBand="0" w:oddHBand="0" w:evenHBand="0" w:firstRowFirstColumn="0" w:firstRowLastColumn="0" w:lastRowFirstColumn="0" w:lastRowLastColumn="0"/>
              <w:rPr>
                <w:lang w:val="fr-FR"/>
              </w:rPr>
            </w:pPr>
            <w:r w:rsidRPr="00EF4120">
              <w:t>72%</w:t>
            </w:r>
          </w:p>
        </w:tc>
        <w:tc>
          <w:tcPr>
            <w:tcW w:w="565" w:type="pct"/>
            <w:vAlign w:val="bottom"/>
          </w:tcPr>
          <w:p w14:paraId="204432AE" w14:textId="4087E880" w:rsidR="00B25337" w:rsidRPr="00A8041F" w:rsidRDefault="00B25337" w:rsidP="00B25337">
            <w:pPr>
              <w:pStyle w:val="Geenafstand"/>
              <w:jc w:val="right"/>
              <w:cnfStyle w:val="000000000000" w:firstRow="0" w:lastRow="0" w:firstColumn="0" w:lastColumn="0" w:oddVBand="0" w:evenVBand="0" w:oddHBand="0" w:evenHBand="0" w:firstRowFirstColumn="0" w:firstRowLastColumn="0" w:lastRowFirstColumn="0" w:lastRowLastColumn="0"/>
              <w:rPr>
                <w:lang w:val="fr-FR"/>
              </w:rPr>
            </w:pPr>
            <w:r w:rsidRPr="00EF4120">
              <w:t>45</w:t>
            </w:r>
          </w:p>
        </w:tc>
        <w:tc>
          <w:tcPr>
            <w:tcW w:w="365" w:type="pct"/>
            <w:vAlign w:val="bottom"/>
          </w:tcPr>
          <w:p w14:paraId="735913C0" w14:textId="4F37B34B" w:rsidR="00B25337" w:rsidRPr="00A8041F" w:rsidRDefault="00B25337" w:rsidP="00B25337">
            <w:pPr>
              <w:pStyle w:val="Geenafstand"/>
              <w:jc w:val="right"/>
              <w:cnfStyle w:val="000000000000" w:firstRow="0" w:lastRow="0" w:firstColumn="0" w:lastColumn="0" w:oddVBand="0" w:evenVBand="0" w:oddHBand="0" w:evenHBand="0" w:firstRowFirstColumn="0" w:firstRowLastColumn="0" w:lastRowFirstColumn="0" w:lastRowLastColumn="0"/>
              <w:rPr>
                <w:lang w:val="fr-FR"/>
              </w:rPr>
            </w:pPr>
            <w:r w:rsidRPr="00EF4120">
              <w:t>14%</w:t>
            </w:r>
          </w:p>
        </w:tc>
        <w:tc>
          <w:tcPr>
            <w:tcW w:w="565" w:type="pct"/>
            <w:vAlign w:val="bottom"/>
          </w:tcPr>
          <w:p w14:paraId="3B57A516" w14:textId="68D758BA" w:rsidR="00B25337" w:rsidRPr="00A8041F" w:rsidRDefault="00B25337" w:rsidP="00B25337">
            <w:pPr>
              <w:pStyle w:val="Geenafstand"/>
              <w:jc w:val="right"/>
              <w:cnfStyle w:val="000000000000" w:firstRow="0" w:lastRow="0" w:firstColumn="0" w:lastColumn="0" w:oddVBand="0" w:evenVBand="0" w:oddHBand="0" w:evenHBand="0" w:firstRowFirstColumn="0" w:firstRowLastColumn="0" w:lastRowFirstColumn="0" w:lastRowLastColumn="0"/>
              <w:rPr>
                <w:lang w:val="fr-FR"/>
              </w:rPr>
            </w:pPr>
            <w:r w:rsidRPr="00EF4120">
              <w:t>37</w:t>
            </w:r>
          </w:p>
        </w:tc>
        <w:tc>
          <w:tcPr>
            <w:tcW w:w="357" w:type="pct"/>
            <w:vAlign w:val="bottom"/>
          </w:tcPr>
          <w:p w14:paraId="2C650C0B" w14:textId="7B470558" w:rsidR="00B25337" w:rsidRPr="00A8041F" w:rsidRDefault="00B25337" w:rsidP="00B25337">
            <w:pPr>
              <w:pStyle w:val="Geenafstand"/>
              <w:jc w:val="right"/>
              <w:cnfStyle w:val="000000000000" w:firstRow="0" w:lastRow="0" w:firstColumn="0" w:lastColumn="0" w:oddVBand="0" w:evenVBand="0" w:oddHBand="0" w:evenHBand="0" w:firstRowFirstColumn="0" w:firstRowLastColumn="0" w:lastRowFirstColumn="0" w:lastRowLastColumn="0"/>
              <w:rPr>
                <w:lang w:val="fr-FR"/>
              </w:rPr>
            </w:pPr>
            <w:r w:rsidRPr="00EF4120">
              <w:t>11%</w:t>
            </w:r>
          </w:p>
        </w:tc>
        <w:tc>
          <w:tcPr>
            <w:tcW w:w="565" w:type="pct"/>
            <w:vAlign w:val="bottom"/>
          </w:tcPr>
          <w:p w14:paraId="3B8BCDAD" w14:textId="4C10BC62" w:rsidR="00B25337" w:rsidRPr="00A8041F" w:rsidRDefault="00B25337" w:rsidP="00B25337">
            <w:pPr>
              <w:pStyle w:val="Geenafstand"/>
              <w:jc w:val="right"/>
              <w:cnfStyle w:val="000000000000" w:firstRow="0" w:lastRow="0" w:firstColumn="0" w:lastColumn="0" w:oddVBand="0" w:evenVBand="0" w:oddHBand="0" w:evenHBand="0" w:firstRowFirstColumn="0" w:firstRowLastColumn="0" w:lastRowFirstColumn="0" w:lastRowLastColumn="0"/>
              <w:rPr>
                <w:lang w:val="fr-FR"/>
              </w:rPr>
            </w:pPr>
            <w:r w:rsidRPr="00EF4120">
              <w:t>9</w:t>
            </w:r>
          </w:p>
        </w:tc>
        <w:tc>
          <w:tcPr>
            <w:tcW w:w="333" w:type="pct"/>
            <w:vAlign w:val="bottom"/>
          </w:tcPr>
          <w:p w14:paraId="7D5E2ADA" w14:textId="65B6FB71" w:rsidR="00B25337" w:rsidRPr="00A8041F" w:rsidRDefault="00B25337" w:rsidP="00B25337">
            <w:pPr>
              <w:pStyle w:val="Geenafstand"/>
              <w:jc w:val="right"/>
              <w:cnfStyle w:val="000000000000" w:firstRow="0" w:lastRow="0" w:firstColumn="0" w:lastColumn="0" w:oddVBand="0" w:evenVBand="0" w:oddHBand="0" w:evenHBand="0" w:firstRowFirstColumn="0" w:firstRowLastColumn="0" w:lastRowFirstColumn="0" w:lastRowLastColumn="0"/>
              <w:rPr>
                <w:lang w:val="fr-FR"/>
              </w:rPr>
            </w:pPr>
            <w:r w:rsidRPr="00EF4120">
              <w:t>3%</w:t>
            </w:r>
          </w:p>
        </w:tc>
      </w:tr>
      <w:tr w:rsidR="00B25337" w:rsidRPr="00A8041F" w14:paraId="56C1DFD1" w14:textId="77777777" w:rsidTr="00B25337">
        <w:tc>
          <w:tcPr>
            <w:cnfStyle w:val="001000000000" w:firstRow="0" w:lastRow="0" w:firstColumn="1" w:lastColumn="0" w:oddVBand="0" w:evenVBand="0" w:oddHBand="0" w:evenHBand="0" w:firstRowFirstColumn="0" w:firstRowLastColumn="0" w:lastRowFirstColumn="0" w:lastRowLastColumn="0"/>
            <w:tcW w:w="1322" w:type="pct"/>
            <w:vAlign w:val="top"/>
          </w:tcPr>
          <w:p w14:paraId="13F6E1AC" w14:textId="77777777" w:rsidR="00B25337" w:rsidRPr="00A8041F" w:rsidRDefault="00B25337" w:rsidP="00B25337">
            <w:pPr>
              <w:pStyle w:val="Geenafstand"/>
              <w:rPr>
                <w:lang w:val="fr-FR"/>
              </w:rPr>
            </w:pPr>
            <w:r w:rsidRPr="00A8041F">
              <w:rPr>
                <w:lang w:val="fr-FR"/>
              </w:rPr>
              <w:t>Total</w:t>
            </w:r>
          </w:p>
        </w:tc>
        <w:tc>
          <w:tcPr>
            <w:tcW w:w="565" w:type="pct"/>
            <w:vAlign w:val="bottom"/>
          </w:tcPr>
          <w:p w14:paraId="013C3CCF" w14:textId="1AC46AD4" w:rsidR="00B25337" w:rsidRPr="00346255" w:rsidRDefault="00B25337" w:rsidP="00B25337">
            <w:pPr>
              <w:pStyle w:val="Geenafstand"/>
              <w:jc w:val="right"/>
              <w:cnfStyle w:val="000000000000" w:firstRow="0" w:lastRow="0" w:firstColumn="0" w:lastColumn="0" w:oddVBand="0" w:evenVBand="0" w:oddHBand="0" w:evenHBand="0" w:firstRowFirstColumn="0" w:firstRowLastColumn="0" w:lastRowFirstColumn="0" w:lastRowLastColumn="0"/>
              <w:rPr>
                <w:rStyle w:val="Zwaar"/>
                <w:b w:val="0"/>
                <w:bCs w:val="0"/>
              </w:rPr>
            </w:pPr>
            <w:r w:rsidRPr="00EF4120">
              <w:rPr>
                <w:rStyle w:val="Zwaar"/>
              </w:rPr>
              <w:t>51.901</w:t>
            </w:r>
          </w:p>
        </w:tc>
        <w:tc>
          <w:tcPr>
            <w:tcW w:w="365" w:type="pct"/>
            <w:vAlign w:val="bottom"/>
          </w:tcPr>
          <w:p w14:paraId="7EF582F3" w14:textId="3336E6ED" w:rsidR="00B25337" w:rsidRPr="00346255" w:rsidRDefault="00B25337" w:rsidP="00B25337">
            <w:pPr>
              <w:pStyle w:val="Geenafstand"/>
              <w:jc w:val="right"/>
              <w:cnfStyle w:val="000000000000" w:firstRow="0" w:lastRow="0" w:firstColumn="0" w:lastColumn="0" w:oddVBand="0" w:evenVBand="0" w:oddHBand="0" w:evenHBand="0" w:firstRowFirstColumn="0" w:firstRowLastColumn="0" w:lastRowFirstColumn="0" w:lastRowLastColumn="0"/>
              <w:rPr>
                <w:rStyle w:val="Zwaar"/>
                <w:b w:val="0"/>
                <w:bCs w:val="0"/>
              </w:rPr>
            </w:pPr>
            <w:r w:rsidRPr="00EF4120">
              <w:rPr>
                <w:rStyle w:val="Zwaar"/>
              </w:rPr>
              <w:t>55%</w:t>
            </w:r>
          </w:p>
        </w:tc>
        <w:tc>
          <w:tcPr>
            <w:tcW w:w="565" w:type="pct"/>
            <w:vAlign w:val="bottom"/>
          </w:tcPr>
          <w:p w14:paraId="2BAD957F" w14:textId="7F683FA7" w:rsidR="00B25337" w:rsidRPr="00346255" w:rsidRDefault="00B25337" w:rsidP="00B25337">
            <w:pPr>
              <w:pStyle w:val="Geenafstand"/>
              <w:jc w:val="right"/>
              <w:cnfStyle w:val="000000000000" w:firstRow="0" w:lastRow="0" w:firstColumn="0" w:lastColumn="0" w:oddVBand="0" w:evenVBand="0" w:oddHBand="0" w:evenHBand="0" w:firstRowFirstColumn="0" w:firstRowLastColumn="0" w:lastRowFirstColumn="0" w:lastRowLastColumn="0"/>
              <w:rPr>
                <w:rStyle w:val="Zwaar"/>
                <w:b w:val="0"/>
                <w:bCs w:val="0"/>
              </w:rPr>
            </w:pPr>
            <w:r w:rsidRPr="00EF4120">
              <w:rPr>
                <w:rStyle w:val="Zwaar"/>
              </w:rPr>
              <w:t>25.930</w:t>
            </w:r>
          </w:p>
        </w:tc>
        <w:tc>
          <w:tcPr>
            <w:tcW w:w="365" w:type="pct"/>
            <w:vAlign w:val="bottom"/>
          </w:tcPr>
          <w:p w14:paraId="3D4CF9D6" w14:textId="1BD4B20E" w:rsidR="00B25337" w:rsidRPr="00346255" w:rsidRDefault="00B25337" w:rsidP="00B25337">
            <w:pPr>
              <w:pStyle w:val="Geenafstand"/>
              <w:jc w:val="right"/>
              <w:cnfStyle w:val="000000000000" w:firstRow="0" w:lastRow="0" w:firstColumn="0" w:lastColumn="0" w:oddVBand="0" w:evenVBand="0" w:oddHBand="0" w:evenHBand="0" w:firstRowFirstColumn="0" w:firstRowLastColumn="0" w:lastRowFirstColumn="0" w:lastRowLastColumn="0"/>
              <w:rPr>
                <w:rStyle w:val="Zwaar"/>
                <w:b w:val="0"/>
                <w:bCs w:val="0"/>
              </w:rPr>
            </w:pPr>
            <w:r w:rsidRPr="00EF4120">
              <w:rPr>
                <w:rStyle w:val="Zwaar"/>
              </w:rPr>
              <w:t>28%</w:t>
            </w:r>
          </w:p>
        </w:tc>
        <w:tc>
          <w:tcPr>
            <w:tcW w:w="565" w:type="pct"/>
            <w:vAlign w:val="bottom"/>
          </w:tcPr>
          <w:p w14:paraId="4D195245" w14:textId="5541F54C" w:rsidR="00B25337" w:rsidRPr="00346255" w:rsidRDefault="00B25337" w:rsidP="00B25337">
            <w:pPr>
              <w:pStyle w:val="Geenafstand"/>
              <w:jc w:val="right"/>
              <w:cnfStyle w:val="000000000000" w:firstRow="0" w:lastRow="0" w:firstColumn="0" w:lastColumn="0" w:oddVBand="0" w:evenVBand="0" w:oddHBand="0" w:evenHBand="0" w:firstRowFirstColumn="0" w:firstRowLastColumn="0" w:lastRowFirstColumn="0" w:lastRowLastColumn="0"/>
              <w:rPr>
                <w:rStyle w:val="Zwaar"/>
                <w:b w:val="0"/>
                <w:bCs w:val="0"/>
              </w:rPr>
            </w:pPr>
            <w:r w:rsidRPr="00EF4120">
              <w:rPr>
                <w:rStyle w:val="Zwaar"/>
              </w:rPr>
              <w:t>10.978</w:t>
            </w:r>
          </w:p>
        </w:tc>
        <w:tc>
          <w:tcPr>
            <w:tcW w:w="357" w:type="pct"/>
            <w:vAlign w:val="bottom"/>
          </w:tcPr>
          <w:p w14:paraId="5F75FE80" w14:textId="7AD8259C" w:rsidR="00B25337" w:rsidRPr="00346255" w:rsidRDefault="00B25337" w:rsidP="00B25337">
            <w:pPr>
              <w:pStyle w:val="Geenafstand"/>
              <w:jc w:val="right"/>
              <w:cnfStyle w:val="000000000000" w:firstRow="0" w:lastRow="0" w:firstColumn="0" w:lastColumn="0" w:oddVBand="0" w:evenVBand="0" w:oddHBand="0" w:evenHBand="0" w:firstRowFirstColumn="0" w:firstRowLastColumn="0" w:lastRowFirstColumn="0" w:lastRowLastColumn="0"/>
              <w:rPr>
                <w:rStyle w:val="Zwaar"/>
                <w:b w:val="0"/>
                <w:bCs w:val="0"/>
              </w:rPr>
            </w:pPr>
            <w:r w:rsidRPr="00EF4120">
              <w:rPr>
                <w:rStyle w:val="Zwaar"/>
              </w:rPr>
              <w:t>12%</w:t>
            </w:r>
          </w:p>
        </w:tc>
        <w:tc>
          <w:tcPr>
            <w:tcW w:w="565" w:type="pct"/>
            <w:vAlign w:val="bottom"/>
          </w:tcPr>
          <w:p w14:paraId="4CB161BF" w14:textId="7CC2D18A" w:rsidR="00B25337" w:rsidRPr="00346255" w:rsidRDefault="00B25337" w:rsidP="00B25337">
            <w:pPr>
              <w:pStyle w:val="Geenafstand"/>
              <w:jc w:val="right"/>
              <w:cnfStyle w:val="000000000000" w:firstRow="0" w:lastRow="0" w:firstColumn="0" w:lastColumn="0" w:oddVBand="0" w:evenVBand="0" w:oddHBand="0" w:evenHBand="0" w:firstRowFirstColumn="0" w:firstRowLastColumn="0" w:lastRowFirstColumn="0" w:lastRowLastColumn="0"/>
              <w:rPr>
                <w:rStyle w:val="Zwaar"/>
                <w:b w:val="0"/>
                <w:bCs w:val="0"/>
              </w:rPr>
            </w:pPr>
            <w:r w:rsidRPr="00EF4120">
              <w:rPr>
                <w:rStyle w:val="Zwaar"/>
              </w:rPr>
              <w:t>4.729</w:t>
            </w:r>
          </w:p>
        </w:tc>
        <w:tc>
          <w:tcPr>
            <w:tcW w:w="333" w:type="pct"/>
            <w:vAlign w:val="bottom"/>
          </w:tcPr>
          <w:p w14:paraId="4BFFAFC8" w14:textId="2D56309C" w:rsidR="00B25337" w:rsidRPr="00346255" w:rsidRDefault="00B25337" w:rsidP="00B25337">
            <w:pPr>
              <w:pStyle w:val="Geenafstand"/>
              <w:jc w:val="right"/>
              <w:cnfStyle w:val="000000000000" w:firstRow="0" w:lastRow="0" w:firstColumn="0" w:lastColumn="0" w:oddVBand="0" w:evenVBand="0" w:oddHBand="0" w:evenHBand="0" w:firstRowFirstColumn="0" w:firstRowLastColumn="0" w:lastRowFirstColumn="0" w:lastRowLastColumn="0"/>
              <w:rPr>
                <w:rStyle w:val="Zwaar"/>
                <w:b w:val="0"/>
                <w:bCs w:val="0"/>
              </w:rPr>
            </w:pPr>
            <w:r w:rsidRPr="00EF4120">
              <w:rPr>
                <w:rStyle w:val="Zwaar"/>
              </w:rPr>
              <w:t>5%</w:t>
            </w:r>
          </w:p>
        </w:tc>
      </w:tr>
    </w:tbl>
    <w:p w14:paraId="265025A8" w14:textId="77777777" w:rsidR="00421D7A" w:rsidRPr="00A8041F" w:rsidRDefault="00421D7A" w:rsidP="002D3EB7">
      <w:pPr>
        <w:rPr>
          <w:lang w:val="fr-FR"/>
        </w:rPr>
      </w:pPr>
    </w:p>
    <w:p w14:paraId="5A671F6C" w14:textId="3909BB23" w:rsidR="0048329C" w:rsidRPr="00A8041F" w:rsidRDefault="002D3EB7" w:rsidP="002D3EB7">
      <w:pPr>
        <w:rPr>
          <w:lang w:val="fr-FR"/>
        </w:rPr>
      </w:pPr>
      <w:r w:rsidRPr="00A8041F">
        <w:rPr>
          <w:lang w:val="fr-FR"/>
        </w:rPr>
        <w:t xml:space="preserve">Sur la base des paiements effectués </w:t>
      </w:r>
      <w:r w:rsidR="006312ED">
        <w:rPr>
          <w:lang w:val="fr-FR"/>
        </w:rPr>
        <w:t>de</w:t>
      </w:r>
      <w:r w:rsidRPr="00A8041F">
        <w:rPr>
          <w:lang w:val="fr-FR"/>
        </w:rPr>
        <w:t xml:space="preserve"> 202</w:t>
      </w:r>
      <w:r w:rsidR="00346255">
        <w:rPr>
          <w:lang w:val="fr-FR"/>
        </w:rPr>
        <w:t>2</w:t>
      </w:r>
      <w:r w:rsidRPr="00A8041F">
        <w:rPr>
          <w:lang w:val="fr-FR"/>
        </w:rPr>
        <w:t xml:space="preserve">, l’on constate que </w:t>
      </w:r>
      <w:r w:rsidR="00346255">
        <w:rPr>
          <w:lang w:val="fr-FR"/>
        </w:rPr>
        <w:t>55</w:t>
      </w:r>
      <w:r w:rsidRPr="00A8041F">
        <w:rPr>
          <w:lang w:val="fr-FR"/>
        </w:rPr>
        <w:t xml:space="preserve">% des factures dans VIM ont été payées dans les 15 jours après la date de scan, </w:t>
      </w:r>
      <w:r w:rsidR="006312ED">
        <w:rPr>
          <w:lang w:val="fr-FR"/>
        </w:rPr>
        <w:t>2</w:t>
      </w:r>
      <w:r w:rsidR="00D43744">
        <w:rPr>
          <w:lang w:val="fr-FR"/>
        </w:rPr>
        <w:t>8</w:t>
      </w:r>
      <w:r w:rsidRPr="00A8041F">
        <w:rPr>
          <w:lang w:val="fr-FR"/>
        </w:rPr>
        <w:t xml:space="preserve">% dans les 15 à 30 jours, </w:t>
      </w:r>
      <w:r w:rsidR="00F15AC7">
        <w:rPr>
          <w:lang w:val="fr-FR"/>
        </w:rPr>
        <w:t>1</w:t>
      </w:r>
      <w:r w:rsidR="00D43744">
        <w:rPr>
          <w:lang w:val="fr-FR"/>
        </w:rPr>
        <w:t>2</w:t>
      </w:r>
      <w:r w:rsidRPr="00A8041F">
        <w:rPr>
          <w:lang w:val="fr-FR"/>
        </w:rPr>
        <w:t xml:space="preserve">% dans les 30 à 60 jours, et </w:t>
      </w:r>
      <w:r w:rsidR="00F15AC7">
        <w:rPr>
          <w:lang w:val="fr-FR"/>
        </w:rPr>
        <w:t>5</w:t>
      </w:r>
      <w:r w:rsidRPr="00A8041F">
        <w:rPr>
          <w:lang w:val="fr-FR"/>
        </w:rPr>
        <w:t>% après 60 jours.</w:t>
      </w:r>
      <w:r w:rsidR="00003539">
        <w:rPr>
          <w:lang w:val="fr-FR"/>
        </w:rPr>
        <w:t xml:space="preserve"> </w:t>
      </w:r>
      <w:r w:rsidRPr="00A8041F">
        <w:rPr>
          <w:lang w:val="fr-FR"/>
        </w:rPr>
        <w:t>Certains services ont aussi une proportion relativement plus élevée de factures pour lesquelles le délai de paiement est de 60 jours.</w:t>
      </w:r>
    </w:p>
    <w:p w14:paraId="7F1245BE" w14:textId="5F25DE3A" w:rsidR="004D124F" w:rsidRPr="00504108" w:rsidRDefault="004D124F" w:rsidP="004D124F">
      <w:pPr>
        <w:pStyle w:val="Kop4"/>
        <w:rPr>
          <w:lang w:val="fr-BE"/>
        </w:rPr>
      </w:pPr>
      <w:r w:rsidRPr="00504108">
        <w:rPr>
          <w:lang w:val="fr-BE"/>
        </w:rPr>
        <w:t xml:space="preserve">Tableau </w:t>
      </w:r>
      <w:r w:rsidR="00C74F8D" w:rsidRPr="00504108">
        <w:rPr>
          <w:lang w:val="fr-BE"/>
        </w:rPr>
        <w:t>4 :</w:t>
      </w:r>
      <w:r w:rsidRPr="00504108">
        <w:rPr>
          <w:lang w:val="fr-BE"/>
        </w:rPr>
        <w:t xml:space="preserve"> </w:t>
      </w:r>
      <w:r w:rsidR="00504108" w:rsidRPr="00810B84">
        <w:rPr>
          <w:lang w:val="fr-BE"/>
        </w:rPr>
        <w:t>Utilisation</w:t>
      </w:r>
      <w:r w:rsidRPr="00810B84">
        <w:rPr>
          <w:lang w:val="fr-BE"/>
        </w:rPr>
        <w:t xml:space="preserve"> </w:t>
      </w:r>
      <w:r w:rsidR="00504108" w:rsidRPr="00810B84">
        <w:rPr>
          <w:lang w:val="fr-BE"/>
        </w:rPr>
        <w:t>de la facturation électronique par rapport aux autres moyens de facturation par mois</w:t>
      </w:r>
    </w:p>
    <w:p w14:paraId="7B0A874D" w14:textId="1BC8F8C1" w:rsidR="004D124F" w:rsidRPr="00C2174B" w:rsidRDefault="004D124F" w:rsidP="00597D8F">
      <w:r>
        <w:t>Période: 01/01/202</w:t>
      </w:r>
      <w:r w:rsidR="00F15AC7">
        <w:t>2</w:t>
      </w:r>
      <w:r>
        <w:t xml:space="preserve"> et 3</w:t>
      </w:r>
      <w:r w:rsidR="00062A08">
        <w:t>0</w:t>
      </w:r>
      <w:r>
        <w:t>/</w:t>
      </w:r>
      <w:r w:rsidR="00F15AC7">
        <w:t>0</w:t>
      </w:r>
      <w:r w:rsidR="00062A08">
        <w:t>6</w:t>
      </w:r>
      <w:r>
        <w:t>/202</w:t>
      </w:r>
      <w:r w:rsidR="00F15AC7">
        <w:t>2</w:t>
      </w:r>
    </w:p>
    <w:tbl>
      <w:tblPr>
        <w:tblStyle w:val="BasicTable"/>
        <w:tblW w:w="0" w:type="auto"/>
        <w:tblLook w:val="04A0" w:firstRow="1" w:lastRow="0" w:firstColumn="1" w:lastColumn="0" w:noHBand="0" w:noVBand="1"/>
      </w:tblPr>
      <w:tblGrid>
        <w:gridCol w:w="1904"/>
        <w:gridCol w:w="640"/>
        <w:gridCol w:w="640"/>
        <w:gridCol w:w="751"/>
        <w:gridCol w:w="640"/>
        <w:gridCol w:w="640"/>
        <w:gridCol w:w="640"/>
      </w:tblGrid>
      <w:tr w:rsidR="00B25337" w14:paraId="1A1D99E1" w14:textId="6D8492F3" w:rsidTr="006231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DF589C9" w14:textId="77777777" w:rsidR="00B25337" w:rsidRDefault="00B25337" w:rsidP="00B25337">
            <w:pPr>
              <w:pStyle w:val="Geenafstand"/>
            </w:pPr>
          </w:p>
        </w:tc>
        <w:tc>
          <w:tcPr>
            <w:tcW w:w="0" w:type="auto"/>
            <w:vAlign w:val="top"/>
          </w:tcPr>
          <w:p w14:paraId="2FB3C4C1" w14:textId="4A1C3DFA" w:rsidR="00B25337" w:rsidRDefault="00B25337" w:rsidP="00B25337">
            <w:pPr>
              <w:pStyle w:val="Geenafstand"/>
              <w:jc w:val="center"/>
              <w:cnfStyle w:val="100000000000" w:firstRow="1" w:lastRow="0" w:firstColumn="0" w:lastColumn="0" w:oddVBand="0" w:evenVBand="0" w:oddHBand="0" w:evenHBand="0" w:firstRowFirstColumn="0" w:firstRowLastColumn="0" w:lastRowFirstColumn="0" w:lastRowLastColumn="0"/>
            </w:pPr>
            <w:r w:rsidRPr="002465AC">
              <w:t>Jan</w:t>
            </w:r>
          </w:p>
        </w:tc>
        <w:tc>
          <w:tcPr>
            <w:tcW w:w="0" w:type="auto"/>
            <w:vAlign w:val="top"/>
          </w:tcPr>
          <w:p w14:paraId="1E8FE6B3" w14:textId="00EF5528" w:rsidR="00B25337" w:rsidRDefault="00B25337" w:rsidP="00B25337">
            <w:pPr>
              <w:pStyle w:val="Geenafstand"/>
              <w:jc w:val="center"/>
              <w:cnfStyle w:val="100000000000" w:firstRow="1" w:lastRow="0" w:firstColumn="0" w:lastColumn="0" w:oddVBand="0" w:evenVBand="0" w:oddHBand="0" w:evenHBand="0" w:firstRowFirstColumn="0" w:firstRowLastColumn="0" w:lastRowFirstColumn="0" w:lastRowLastColumn="0"/>
            </w:pPr>
            <w:r w:rsidRPr="002465AC">
              <w:t>Fév</w:t>
            </w:r>
          </w:p>
        </w:tc>
        <w:tc>
          <w:tcPr>
            <w:tcW w:w="0" w:type="auto"/>
            <w:vAlign w:val="top"/>
          </w:tcPr>
          <w:p w14:paraId="1192188D" w14:textId="0F648B9C" w:rsidR="00B25337" w:rsidRDefault="00B25337" w:rsidP="00B25337">
            <w:pPr>
              <w:pStyle w:val="Geenafstand"/>
              <w:jc w:val="center"/>
              <w:cnfStyle w:val="100000000000" w:firstRow="1" w:lastRow="0" w:firstColumn="0" w:lastColumn="0" w:oddVBand="0" w:evenVBand="0" w:oddHBand="0" w:evenHBand="0" w:firstRowFirstColumn="0" w:firstRowLastColumn="0" w:lastRowFirstColumn="0" w:lastRowLastColumn="0"/>
            </w:pPr>
            <w:r w:rsidRPr="002465AC">
              <w:t>Mars</w:t>
            </w:r>
          </w:p>
        </w:tc>
        <w:tc>
          <w:tcPr>
            <w:tcW w:w="0" w:type="auto"/>
          </w:tcPr>
          <w:p w14:paraId="1206651F" w14:textId="50AC7C38" w:rsidR="00B25337" w:rsidRPr="002465AC" w:rsidRDefault="00B25337" w:rsidP="00B25337">
            <w:pPr>
              <w:pStyle w:val="Geenafstand"/>
              <w:jc w:val="center"/>
              <w:cnfStyle w:val="100000000000" w:firstRow="1" w:lastRow="0" w:firstColumn="0" w:lastColumn="0" w:oddVBand="0" w:evenVBand="0" w:oddHBand="0" w:evenHBand="0" w:firstRowFirstColumn="0" w:firstRowLastColumn="0" w:lastRowFirstColumn="0" w:lastRowLastColumn="0"/>
            </w:pPr>
            <w:r>
              <w:t>Apr</w:t>
            </w:r>
          </w:p>
        </w:tc>
        <w:tc>
          <w:tcPr>
            <w:tcW w:w="0" w:type="auto"/>
          </w:tcPr>
          <w:p w14:paraId="1A621F05" w14:textId="2CAECE7F" w:rsidR="00B25337" w:rsidRPr="002465AC" w:rsidRDefault="00B25337" w:rsidP="00B25337">
            <w:pPr>
              <w:pStyle w:val="Geenafstand"/>
              <w:jc w:val="center"/>
              <w:cnfStyle w:val="100000000000" w:firstRow="1" w:lastRow="0" w:firstColumn="0" w:lastColumn="0" w:oddVBand="0" w:evenVBand="0" w:oddHBand="0" w:evenHBand="0" w:firstRowFirstColumn="0" w:firstRowLastColumn="0" w:lastRowFirstColumn="0" w:lastRowLastColumn="0"/>
            </w:pPr>
            <w:r>
              <w:t>Mai</w:t>
            </w:r>
          </w:p>
        </w:tc>
        <w:tc>
          <w:tcPr>
            <w:tcW w:w="0" w:type="auto"/>
          </w:tcPr>
          <w:p w14:paraId="414CC49B" w14:textId="4D576EF8" w:rsidR="00B25337" w:rsidRPr="002465AC" w:rsidRDefault="00B25337" w:rsidP="00B25337">
            <w:pPr>
              <w:pStyle w:val="Geenafstand"/>
              <w:jc w:val="center"/>
              <w:cnfStyle w:val="100000000000" w:firstRow="1" w:lastRow="0" w:firstColumn="0" w:lastColumn="0" w:oddVBand="0" w:evenVBand="0" w:oddHBand="0" w:evenHBand="0" w:firstRowFirstColumn="0" w:firstRowLastColumn="0" w:lastRowFirstColumn="0" w:lastRowLastColumn="0"/>
            </w:pPr>
            <w:r>
              <w:t>Jun</w:t>
            </w:r>
          </w:p>
        </w:tc>
      </w:tr>
      <w:tr w:rsidR="00B25337" w14:paraId="181452A2" w14:textId="391F3438" w:rsidTr="005C060D">
        <w:tc>
          <w:tcPr>
            <w:cnfStyle w:val="001000000000" w:firstRow="0" w:lastRow="0" w:firstColumn="1" w:lastColumn="0" w:oddVBand="0" w:evenVBand="0" w:oddHBand="0" w:evenHBand="0" w:firstRowFirstColumn="0" w:firstRowLastColumn="0" w:lastRowFirstColumn="0" w:lastRowLastColumn="0"/>
            <w:tcW w:w="0" w:type="auto"/>
            <w:vAlign w:val="top"/>
          </w:tcPr>
          <w:p w14:paraId="7CA5047B" w14:textId="5EF4A669" w:rsidR="00B25337" w:rsidRDefault="00B25337" w:rsidP="00B25337">
            <w:pPr>
              <w:pStyle w:val="Geenafstand"/>
            </w:pPr>
            <w:r>
              <w:t>e-facturation</w:t>
            </w:r>
          </w:p>
        </w:tc>
        <w:tc>
          <w:tcPr>
            <w:tcW w:w="0" w:type="auto"/>
            <w:vAlign w:val="top"/>
          </w:tcPr>
          <w:p w14:paraId="61A9E847" w14:textId="4A970C02" w:rsidR="00B25337" w:rsidRDefault="00B25337" w:rsidP="00B25337">
            <w:pPr>
              <w:pStyle w:val="Geenafstand"/>
              <w:jc w:val="center"/>
              <w:cnfStyle w:val="000000000000" w:firstRow="0" w:lastRow="0" w:firstColumn="0" w:lastColumn="0" w:oddVBand="0" w:evenVBand="0" w:oddHBand="0" w:evenHBand="0" w:firstRowFirstColumn="0" w:firstRowLastColumn="0" w:lastRowFirstColumn="0" w:lastRowLastColumn="0"/>
            </w:pPr>
            <w:r w:rsidRPr="006746EB">
              <w:t>22%</w:t>
            </w:r>
          </w:p>
        </w:tc>
        <w:tc>
          <w:tcPr>
            <w:tcW w:w="0" w:type="auto"/>
            <w:vAlign w:val="top"/>
          </w:tcPr>
          <w:p w14:paraId="4E40E6E6" w14:textId="6DED24B8" w:rsidR="00B25337" w:rsidRDefault="00B25337" w:rsidP="00B25337">
            <w:pPr>
              <w:pStyle w:val="Geenafstand"/>
              <w:jc w:val="center"/>
              <w:cnfStyle w:val="000000000000" w:firstRow="0" w:lastRow="0" w:firstColumn="0" w:lastColumn="0" w:oddVBand="0" w:evenVBand="0" w:oddHBand="0" w:evenHBand="0" w:firstRowFirstColumn="0" w:firstRowLastColumn="0" w:lastRowFirstColumn="0" w:lastRowLastColumn="0"/>
            </w:pPr>
            <w:r w:rsidRPr="006746EB">
              <w:t>13%</w:t>
            </w:r>
          </w:p>
        </w:tc>
        <w:tc>
          <w:tcPr>
            <w:tcW w:w="0" w:type="auto"/>
            <w:vAlign w:val="top"/>
          </w:tcPr>
          <w:p w14:paraId="2AE6F01B" w14:textId="3DB9853A" w:rsidR="00B25337" w:rsidRDefault="00B25337" w:rsidP="00B25337">
            <w:pPr>
              <w:pStyle w:val="Geenafstand"/>
              <w:jc w:val="center"/>
              <w:cnfStyle w:val="000000000000" w:firstRow="0" w:lastRow="0" w:firstColumn="0" w:lastColumn="0" w:oddVBand="0" w:evenVBand="0" w:oddHBand="0" w:evenHBand="0" w:firstRowFirstColumn="0" w:firstRowLastColumn="0" w:lastRowFirstColumn="0" w:lastRowLastColumn="0"/>
            </w:pPr>
            <w:r w:rsidRPr="006746EB">
              <w:t>15%</w:t>
            </w:r>
          </w:p>
        </w:tc>
        <w:tc>
          <w:tcPr>
            <w:tcW w:w="0" w:type="auto"/>
            <w:vAlign w:val="bottom"/>
          </w:tcPr>
          <w:p w14:paraId="7D230DE0" w14:textId="2E48F570" w:rsidR="00B25337" w:rsidRPr="006746EB" w:rsidRDefault="00B25337" w:rsidP="00B25337">
            <w:pPr>
              <w:pStyle w:val="Geenafstand"/>
              <w:jc w:val="center"/>
              <w:cnfStyle w:val="000000000000" w:firstRow="0" w:lastRow="0" w:firstColumn="0" w:lastColumn="0" w:oddVBand="0" w:evenVBand="0" w:oddHBand="0" w:evenHBand="0" w:firstRowFirstColumn="0" w:firstRowLastColumn="0" w:lastRowFirstColumn="0" w:lastRowLastColumn="0"/>
            </w:pPr>
            <w:r w:rsidRPr="00EF4120">
              <w:t>20%</w:t>
            </w:r>
          </w:p>
        </w:tc>
        <w:tc>
          <w:tcPr>
            <w:tcW w:w="0" w:type="auto"/>
            <w:vAlign w:val="bottom"/>
          </w:tcPr>
          <w:p w14:paraId="44D839CB" w14:textId="3FFC9F42" w:rsidR="00B25337" w:rsidRPr="006746EB" w:rsidRDefault="00B25337" w:rsidP="00B25337">
            <w:pPr>
              <w:pStyle w:val="Geenafstand"/>
              <w:jc w:val="center"/>
              <w:cnfStyle w:val="000000000000" w:firstRow="0" w:lastRow="0" w:firstColumn="0" w:lastColumn="0" w:oddVBand="0" w:evenVBand="0" w:oddHBand="0" w:evenHBand="0" w:firstRowFirstColumn="0" w:firstRowLastColumn="0" w:lastRowFirstColumn="0" w:lastRowLastColumn="0"/>
            </w:pPr>
            <w:r w:rsidRPr="00EF4120">
              <w:t>20%</w:t>
            </w:r>
          </w:p>
        </w:tc>
        <w:tc>
          <w:tcPr>
            <w:tcW w:w="0" w:type="auto"/>
            <w:vAlign w:val="bottom"/>
          </w:tcPr>
          <w:p w14:paraId="362DFE7B" w14:textId="59766B16" w:rsidR="00B25337" w:rsidRPr="006746EB" w:rsidRDefault="00B25337" w:rsidP="00B25337">
            <w:pPr>
              <w:pStyle w:val="Geenafstand"/>
              <w:jc w:val="center"/>
              <w:cnfStyle w:val="000000000000" w:firstRow="0" w:lastRow="0" w:firstColumn="0" w:lastColumn="0" w:oddVBand="0" w:evenVBand="0" w:oddHBand="0" w:evenHBand="0" w:firstRowFirstColumn="0" w:firstRowLastColumn="0" w:lastRowFirstColumn="0" w:lastRowLastColumn="0"/>
            </w:pPr>
            <w:r w:rsidRPr="00EF4120">
              <w:t>18%</w:t>
            </w:r>
          </w:p>
        </w:tc>
      </w:tr>
      <w:tr w:rsidR="00B25337" w14:paraId="0AF2AF88" w14:textId="1D889771" w:rsidTr="005C060D">
        <w:tc>
          <w:tcPr>
            <w:cnfStyle w:val="001000000000" w:firstRow="0" w:lastRow="0" w:firstColumn="1" w:lastColumn="0" w:oddVBand="0" w:evenVBand="0" w:oddHBand="0" w:evenHBand="0" w:firstRowFirstColumn="0" w:firstRowLastColumn="0" w:lastRowFirstColumn="0" w:lastRowLastColumn="0"/>
            <w:tcW w:w="0" w:type="auto"/>
            <w:vAlign w:val="top"/>
          </w:tcPr>
          <w:p w14:paraId="5EB2E1B3" w14:textId="77777777" w:rsidR="00B25337" w:rsidRDefault="00B25337" w:rsidP="00B25337">
            <w:pPr>
              <w:pStyle w:val="Geenafstand"/>
            </w:pPr>
            <w:r>
              <w:t>e-mail</w:t>
            </w:r>
            <w:r w:rsidRPr="005B69A5">
              <w:t xml:space="preserve"> </w:t>
            </w:r>
          </w:p>
        </w:tc>
        <w:tc>
          <w:tcPr>
            <w:tcW w:w="0" w:type="auto"/>
            <w:vAlign w:val="top"/>
          </w:tcPr>
          <w:p w14:paraId="0F89697F" w14:textId="4D0BAECF" w:rsidR="00B25337" w:rsidRDefault="00B25337" w:rsidP="00B25337">
            <w:pPr>
              <w:pStyle w:val="Geenafstand"/>
              <w:jc w:val="center"/>
              <w:cnfStyle w:val="000000000000" w:firstRow="0" w:lastRow="0" w:firstColumn="0" w:lastColumn="0" w:oddVBand="0" w:evenVBand="0" w:oddHBand="0" w:evenHBand="0" w:firstRowFirstColumn="0" w:firstRowLastColumn="0" w:lastRowFirstColumn="0" w:lastRowLastColumn="0"/>
            </w:pPr>
            <w:r w:rsidRPr="006746EB">
              <w:t>28%</w:t>
            </w:r>
          </w:p>
        </w:tc>
        <w:tc>
          <w:tcPr>
            <w:tcW w:w="0" w:type="auto"/>
            <w:vAlign w:val="top"/>
          </w:tcPr>
          <w:p w14:paraId="25A0DBF8" w14:textId="6C1619AD" w:rsidR="00B25337" w:rsidRDefault="00B25337" w:rsidP="00B25337">
            <w:pPr>
              <w:pStyle w:val="Geenafstand"/>
              <w:jc w:val="center"/>
              <w:cnfStyle w:val="000000000000" w:firstRow="0" w:lastRow="0" w:firstColumn="0" w:lastColumn="0" w:oddVBand="0" w:evenVBand="0" w:oddHBand="0" w:evenHBand="0" w:firstRowFirstColumn="0" w:firstRowLastColumn="0" w:lastRowFirstColumn="0" w:lastRowLastColumn="0"/>
            </w:pPr>
            <w:r w:rsidRPr="006746EB">
              <w:t>35%</w:t>
            </w:r>
          </w:p>
        </w:tc>
        <w:tc>
          <w:tcPr>
            <w:tcW w:w="0" w:type="auto"/>
            <w:vAlign w:val="top"/>
          </w:tcPr>
          <w:p w14:paraId="272380BA" w14:textId="0F13993E" w:rsidR="00B25337" w:rsidRDefault="00B25337" w:rsidP="00B25337">
            <w:pPr>
              <w:pStyle w:val="Geenafstand"/>
              <w:jc w:val="center"/>
              <w:cnfStyle w:val="000000000000" w:firstRow="0" w:lastRow="0" w:firstColumn="0" w:lastColumn="0" w:oddVBand="0" w:evenVBand="0" w:oddHBand="0" w:evenHBand="0" w:firstRowFirstColumn="0" w:firstRowLastColumn="0" w:lastRowFirstColumn="0" w:lastRowLastColumn="0"/>
            </w:pPr>
            <w:r w:rsidRPr="006746EB">
              <w:t>37%</w:t>
            </w:r>
          </w:p>
        </w:tc>
        <w:tc>
          <w:tcPr>
            <w:tcW w:w="0" w:type="auto"/>
            <w:vAlign w:val="bottom"/>
          </w:tcPr>
          <w:p w14:paraId="1C268CF7" w14:textId="2EF7091A" w:rsidR="00B25337" w:rsidRPr="006746EB" w:rsidRDefault="00B25337" w:rsidP="00B25337">
            <w:pPr>
              <w:pStyle w:val="Geenafstand"/>
              <w:jc w:val="center"/>
              <w:cnfStyle w:val="000000000000" w:firstRow="0" w:lastRow="0" w:firstColumn="0" w:lastColumn="0" w:oddVBand="0" w:evenVBand="0" w:oddHBand="0" w:evenHBand="0" w:firstRowFirstColumn="0" w:firstRowLastColumn="0" w:lastRowFirstColumn="0" w:lastRowLastColumn="0"/>
            </w:pPr>
            <w:r w:rsidRPr="00EF4120">
              <w:t>39%</w:t>
            </w:r>
          </w:p>
        </w:tc>
        <w:tc>
          <w:tcPr>
            <w:tcW w:w="0" w:type="auto"/>
            <w:vAlign w:val="bottom"/>
          </w:tcPr>
          <w:p w14:paraId="0DFA9B14" w14:textId="562509AE" w:rsidR="00B25337" w:rsidRPr="006746EB" w:rsidRDefault="00B25337" w:rsidP="00B25337">
            <w:pPr>
              <w:pStyle w:val="Geenafstand"/>
              <w:jc w:val="center"/>
              <w:cnfStyle w:val="000000000000" w:firstRow="0" w:lastRow="0" w:firstColumn="0" w:lastColumn="0" w:oddVBand="0" w:evenVBand="0" w:oddHBand="0" w:evenHBand="0" w:firstRowFirstColumn="0" w:firstRowLastColumn="0" w:lastRowFirstColumn="0" w:lastRowLastColumn="0"/>
            </w:pPr>
            <w:r w:rsidRPr="00EF4120">
              <w:t>37%</w:t>
            </w:r>
          </w:p>
        </w:tc>
        <w:tc>
          <w:tcPr>
            <w:tcW w:w="0" w:type="auto"/>
            <w:vAlign w:val="bottom"/>
          </w:tcPr>
          <w:p w14:paraId="621BFC58" w14:textId="65F12CE1" w:rsidR="00B25337" w:rsidRPr="006746EB" w:rsidRDefault="00B25337" w:rsidP="00B25337">
            <w:pPr>
              <w:pStyle w:val="Geenafstand"/>
              <w:jc w:val="center"/>
              <w:cnfStyle w:val="000000000000" w:firstRow="0" w:lastRow="0" w:firstColumn="0" w:lastColumn="0" w:oddVBand="0" w:evenVBand="0" w:oddHBand="0" w:evenHBand="0" w:firstRowFirstColumn="0" w:firstRowLastColumn="0" w:lastRowFirstColumn="0" w:lastRowLastColumn="0"/>
            </w:pPr>
            <w:r w:rsidRPr="00EF4120">
              <w:t>44%</w:t>
            </w:r>
          </w:p>
        </w:tc>
      </w:tr>
      <w:tr w:rsidR="00B25337" w14:paraId="5F4277B7" w14:textId="66ACB101" w:rsidTr="005C060D">
        <w:tc>
          <w:tcPr>
            <w:cnfStyle w:val="001000000000" w:firstRow="0" w:lastRow="0" w:firstColumn="1" w:lastColumn="0" w:oddVBand="0" w:evenVBand="0" w:oddHBand="0" w:evenHBand="0" w:firstRowFirstColumn="0" w:firstRowLastColumn="0" w:lastRowFirstColumn="0" w:lastRowLastColumn="0"/>
            <w:tcW w:w="0" w:type="auto"/>
            <w:vAlign w:val="top"/>
          </w:tcPr>
          <w:p w14:paraId="1B4499B9" w14:textId="77777777" w:rsidR="00B25337" w:rsidRPr="00232341" w:rsidRDefault="00B25337" w:rsidP="00B25337">
            <w:pPr>
              <w:pStyle w:val="Geenafstand"/>
            </w:pPr>
            <w:r>
              <w:t>Scanning papier</w:t>
            </w:r>
          </w:p>
        </w:tc>
        <w:tc>
          <w:tcPr>
            <w:tcW w:w="0" w:type="auto"/>
            <w:vAlign w:val="top"/>
          </w:tcPr>
          <w:p w14:paraId="31CA1338" w14:textId="2A4FE199" w:rsidR="00B25337" w:rsidRPr="00EE38F3" w:rsidRDefault="00B25337" w:rsidP="00B25337">
            <w:pPr>
              <w:pStyle w:val="Geenafstand"/>
              <w:jc w:val="center"/>
              <w:cnfStyle w:val="000000000000" w:firstRow="0" w:lastRow="0" w:firstColumn="0" w:lastColumn="0" w:oddVBand="0" w:evenVBand="0" w:oddHBand="0" w:evenHBand="0" w:firstRowFirstColumn="0" w:firstRowLastColumn="0" w:lastRowFirstColumn="0" w:lastRowLastColumn="0"/>
              <w:rPr>
                <w:rStyle w:val="Zwaar"/>
                <w:b w:val="0"/>
                <w:bCs w:val="0"/>
              </w:rPr>
            </w:pPr>
            <w:r w:rsidRPr="006746EB">
              <w:t>50%</w:t>
            </w:r>
          </w:p>
        </w:tc>
        <w:tc>
          <w:tcPr>
            <w:tcW w:w="0" w:type="auto"/>
            <w:vAlign w:val="top"/>
          </w:tcPr>
          <w:p w14:paraId="305009FC" w14:textId="540B5C7B" w:rsidR="00B25337" w:rsidRPr="00EE38F3" w:rsidRDefault="00B25337" w:rsidP="00B25337">
            <w:pPr>
              <w:pStyle w:val="Geenafstand"/>
              <w:jc w:val="center"/>
              <w:cnfStyle w:val="000000000000" w:firstRow="0" w:lastRow="0" w:firstColumn="0" w:lastColumn="0" w:oddVBand="0" w:evenVBand="0" w:oddHBand="0" w:evenHBand="0" w:firstRowFirstColumn="0" w:firstRowLastColumn="0" w:lastRowFirstColumn="0" w:lastRowLastColumn="0"/>
              <w:rPr>
                <w:rStyle w:val="Zwaar"/>
                <w:b w:val="0"/>
                <w:bCs w:val="0"/>
              </w:rPr>
            </w:pPr>
            <w:r w:rsidRPr="006746EB">
              <w:t>51%</w:t>
            </w:r>
          </w:p>
        </w:tc>
        <w:tc>
          <w:tcPr>
            <w:tcW w:w="0" w:type="auto"/>
            <w:vAlign w:val="top"/>
          </w:tcPr>
          <w:p w14:paraId="099BDCB2" w14:textId="1D3653AA" w:rsidR="00B25337" w:rsidRPr="00EE38F3" w:rsidRDefault="00B25337" w:rsidP="00B25337">
            <w:pPr>
              <w:pStyle w:val="Geenafstand"/>
              <w:jc w:val="center"/>
              <w:cnfStyle w:val="000000000000" w:firstRow="0" w:lastRow="0" w:firstColumn="0" w:lastColumn="0" w:oddVBand="0" w:evenVBand="0" w:oddHBand="0" w:evenHBand="0" w:firstRowFirstColumn="0" w:firstRowLastColumn="0" w:lastRowFirstColumn="0" w:lastRowLastColumn="0"/>
              <w:rPr>
                <w:rStyle w:val="Zwaar"/>
                <w:b w:val="0"/>
                <w:bCs w:val="0"/>
              </w:rPr>
            </w:pPr>
            <w:r w:rsidRPr="006746EB">
              <w:t>48%</w:t>
            </w:r>
          </w:p>
        </w:tc>
        <w:tc>
          <w:tcPr>
            <w:tcW w:w="0" w:type="auto"/>
            <w:vAlign w:val="bottom"/>
          </w:tcPr>
          <w:p w14:paraId="0A0F68EE" w14:textId="70539751" w:rsidR="00B25337" w:rsidRPr="006746EB" w:rsidRDefault="00B25337" w:rsidP="00B25337">
            <w:pPr>
              <w:pStyle w:val="Geenafstand"/>
              <w:jc w:val="center"/>
              <w:cnfStyle w:val="000000000000" w:firstRow="0" w:lastRow="0" w:firstColumn="0" w:lastColumn="0" w:oddVBand="0" w:evenVBand="0" w:oddHBand="0" w:evenHBand="0" w:firstRowFirstColumn="0" w:firstRowLastColumn="0" w:lastRowFirstColumn="0" w:lastRowLastColumn="0"/>
            </w:pPr>
            <w:r w:rsidRPr="00EF4120">
              <w:t>41%</w:t>
            </w:r>
          </w:p>
        </w:tc>
        <w:tc>
          <w:tcPr>
            <w:tcW w:w="0" w:type="auto"/>
            <w:vAlign w:val="bottom"/>
          </w:tcPr>
          <w:p w14:paraId="0C3925B7" w14:textId="51E0E7A0" w:rsidR="00B25337" w:rsidRPr="006746EB" w:rsidRDefault="00B25337" w:rsidP="00B25337">
            <w:pPr>
              <w:pStyle w:val="Geenafstand"/>
              <w:jc w:val="center"/>
              <w:cnfStyle w:val="000000000000" w:firstRow="0" w:lastRow="0" w:firstColumn="0" w:lastColumn="0" w:oddVBand="0" w:evenVBand="0" w:oddHBand="0" w:evenHBand="0" w:firstRowFirstColumn="0" w:firstRowLastColumn="0" w:lastRowFirstColumn="0" w:lastRowLastColumn="0"/>
            </w:pPr>
            <w:r w:rsidRPr="00EF4120">
              <w:t>43%</w:t>
            </w:r>
          </w:p>
        </w:tc>
        <w:tc>
          <w:tcPr>
            <w:tcW w:w="0" w:type="auto"/>
            <w:vAlign w:val="bottom"/>
          </w:tcPr>
          <w:p w14:paraId="07689A40" w14:textId="3C22BFDD" w:rsidR="00B25337" w:rsidRPr="006746EB" w:rsidRDefault="00B25337" w:rsidP="00B25337">
            <w:pPr>
              <w:pStyle w:val="Geenafstand"/>
              <w:jc w:val="center"/>
              <w:cnfStyle w:val="000000000000" w:firstRow="0" w:lastRow="0" w:firstColumn="0" w:lastColumn="0" w:oddVBand="0" w:evenVBand="0" w:oddHBand="0" w:evenHBand="0" w:firstRowFirstColumn="0" w:firstRowLastColumn="0" w:lastRowFirstColumn="0" w:lastRowLastColumn="0"/>
            </w:pPr>
            <w:r w:rsidRPr="00EF4120">
              <w:t>37%</w:t>
            </w:r>
          </w:p>
        </w:tc>
      </w:tr>
    </w:tbl>
    <w:p w14:paraId="26091779" w14:textId="77777777" w:rsidR="002B35A8" w:rsidRDefault="002B35A8" w:rsidP="002D3EB7"/>
    <w:p w14:paraId="5A74AF99" w14:textId="3D671784" w:rsidR="00F901A7" w:rsidRPr="00F901A7" w:rsidRDefault="00F901A7" w:rsidP="00F901A7">
      <w:pPr>
        <w:rPr>
          <w:lang w:val="fr-FR"/>
        </w:rPr>
      </w:pPr>
      <w:r w:rsidRPr="004D1833">
        <w:rPr>
          <w:lang w:val="fr-FR"/>
        </w:rPr>
        <w:t>Le tableau montre l'utilisation de la facturation électronique en 202</w:t>
      </w:r>
      <w:r w:rsidR="004D1833" w:rsidRPr="004D1833">
        <w:rPr>
          <w:lang w:val="fr-FR"/>
        </w:rPr>
        <w:t>2</w:t>
      </w:r>
      <w:r w:rsidRPr="004D1833">
        <w:rPr>
          <w:lang w:val="fr-FR"/>
        </w:rPr>
        <w:t>.</w:t>
      </w:r>
      <w:r w:rsidR="003D778D" w:rsidRPr="004D1833">
        <w:rPr>
          <w:lang w:val="fr-FR"/>
        </w:rPr>
        <w:t xml:space="preserve"> </w:t>
      </w:r>
      <w:r w:rsidRPr="004D1833">
        <w:rPr>
          <w:lang w:val="fr-FR"/>
        </w:rPr>
        <w:t>La part de la facturation électronique, des factures directement saisies dans le système VIM, passe de 1</w:t>
      </w:r>
      <w:r w:rsidR="00D43744">
        <w:rPr>
          <w:lang w:val="fr-FR"/>
        </w:rPr>
        <w:t>8</w:t>
      </w:r>
      <w:r w:rsidRPr="004D1833">
        <w:rPr>
          <w:lang w:val="fr-FR"/>
        </w:rPr>
        <w:t xml:space="preserve">% en </w:t>
      </w:r>
      <w:r w:rsidR="00D43744">
        <w:rPr>
          <w:lang w:val="fr-FR"/>
        </w:rPr>
        <w:t>ju</w:t>
      </w:r>
      <w:r w:rsidR="00C74F8D">
        <w:rPr>
          <w:lang w:val="fr-FR"/>
        </w:rPr>
        <w:t>in</w:t>
      </w:r>
      <w:r w:rsidR="004D1833" w:rsidRPr="004D1833">
        <w:rPr>
          <w:lang w:val="fr-FR"/>
        </w:rPr>
        <w:t xml:space="preserve"> 2022</w:t>
      </w:r>
      <w:r w:rsidRPr="004D1833">
        <w:rPr>
          <w:lang w:val="fr-FR"/>
        </w:rPr>
        <w:t xml:space="preserve">. La part des factures papier qui sont encore scannées manuellement dans le système VIM </w:t>
      </w:r>
      <w:r w:rsidR="004D1833" w:rsidRPr="004D1833">
        <w:rPr>
          <w:lang w:val="fr-FR"/>
        </w:rPr>
        <w:t xml:space="preserve">est </w:t>
      </w:r>
      <w:r w:rsidR="00D43744">
        <w:rPr>
          <w:lang w:val="fr-FR"/>
        </w:rPr>
        <w:t>37</w:t>
      </w:r>
      <w:r w:rsidR="00036A8B">
        <w:rPr>
          <w:lang w:val="fr-FR"/>
        </w:rPr>
        <w:t xml:space="preserve">% </w:t>
      </w:r>
      <w:r w:rsidR="004D1833" w:rsidRPr="004D1833">
        <w:rPr>
          <w:lang w:val="fr-FR"/>
        </w:rPr>
        <w:t xml:space="preserve">en </w:t>
      </w:r>
      <w:r w:rsidR="00D43744">
        <w:rPr>
          <w:lang w:val="fr-FR"/>
        </w:rPr>
        <w:t>ju</w:t>
      </w:r>
      <w:r w:rsidR="00C74F8D">
        <w:rPr>
          <w:lang w:val="fr-FR"/>
        </w:rPr>
        <w:t>in</w:t>
      </w:r>
      <w:r w:rsidR="004D1833" w:rsidRPr="004D1833">
        <w:rPr>
          <w:lang w:val="fr-FR"/>
        </w:rPr>
        <w:t xml:space="preserve"> 2022</w:t>
      </w:r>
      <w:r w:rsidR="0048517A" w:rsidRPr="004D1833">
        <w:rPr>
          <w:lang w:val="fr-FR"/>
        </w:rPr>
        <w:t>.</w:t>
      </w:r>
    </w:p>
    <w:p w14:paraId="7A5EC42A" w14:textId="77777777" w:rsidR="004D124F" w:rsidRPr="00A8041F" w:rsidRDefault="004D124F" w:rsidP="004D124F">
      <w:pPr>
        <w:pStyle w:val="Kop3"/>
        <w:rPr>
          <w:lang w:val="fr-FR"/>
        </w:rPr>
      </w:pPr>
      <w:r w:rsidRPr="00A8041F">
        <w:rPr>
          <w:lang w:val="fr-FR"/>
        </w:rPr>
        <w:t>Notes de créance de SPF qui ne sont pas encore (entièrement) passés à VIM</w:t>
      </w:r>
    </w:p>
    <w:p w14:paraId="209888C1" w14:textId="043EE2F9" w:rsidR="004D124F" w:rsidRPr="00A8041F" w:rsidRDefault="004D124F" w:rsidP="004D124F">
      <w:pPr>
        <w:rPr>
          <w:lang w:val="fr-FR"/>
        </w:rPr>
      </w:pPr>
      <w:r w:rsidRPr="00A8041F">
        <w:rPr>
          <w:lang w:val="fr-FR"/>
        </w:rPr>
        <w:t xml:space="preserve">Le Ministère de la Défense et le SPF Finances ont leur propre système de facturation électronique. La date de scan n’est pas disponible pour ces statistiques. </w:t>
      </w:r>
      <w:r w:rsidR="00003539" w:rsidRPr="00FF4043">
        <w:rPr>
          <w:lang w:val="fr-FR"/>
        </w:rPr>
        <w:t>Pour les chiffres du SPF Justice concernant les frais de justice, nous nous référons aux données en annexe, fournies par le SPF Justice.</w:t>
      </w:r>
    </w:p>
    <w:p w14:paraId="16C31395" w14:textId="57E6D511" w:rsidR="004D124F" w:rsidRPr="00A8041F" w:rsidRDefault="004D124F" w:rsidP="004D124F">
      <w:pPr>
        <w:pStyle w:val="Kop4"/>
        <w:rPr>
          <w:lang w:val="fr-FR"/>
        </w:rPr>
      </w:pPr>
      <w:r w:rsidRPr="00A8041F">
        <w:rPr>
          <w:lang w:val="fr-FR"/>
        </w:rPr>
        <w:t>Tableau </w:t>
      </w:r>
      <w:r>
        <w:rPr>
          <w:lang w:val="fr-FR"/>
        </w:rPr>
        <w:t xml:space="preserve">5 </w:t>
      </w:r>
      <w:r w:rsidRPr="00A8041F">
        <w:rPr>
          <w:lang w:val="fr-FR"/>
        </w:rPr>
        <w:t xml:space="preserve">: </w:t>
      </w:r>
      <w:r w:rsidR="00036A8B">
        <w:rPr>
          <w:lang w:val="fr-FR"/>
        </w:rPr>
        <w:t>N</w:t>
      </w:r>
      <w:r w:rsidRPr="00A8041F">
        <w:rPr>
          <w:lang w:val="fr-FR"/>
        </w:rPr>
        <w:t>ombre moyen de jours pour le paiement après l</w:t>
      </w:r>
      <w:r>
        <w:rPr>
          <w:lang w:val="fr-FR"/>
        </w:rPr>
        <w:t>a</w:t>
      </w:r>
      <w:r w:rsidRPr="00A8041F">
        <w:rPr>
          <w:lang w:val="fr-FR"/>
        </w:rPr>
        <w:t xml:space="preserve"> date de la facture - après la date de saisie</w:t>
      </w:r>
    </w:p>
    <w:p w14:paraId="54D2E8D6" w14:textId="1B84FDAD" w:rsidR="004D124F" w:rsidRPr="00A8041F" w:rsidRDefault="004D124F" w:rsidP="00597D8F">
      <w:pPr>
        <w:rPr>
          <w:lang w:val="fr-FR"/>
        </w:rPr>
      </w:pPr>
      <w:r w:rsidRPr="00A8041F">
        <w:rPr>
          <w:lang w:val="fr-FR"/>
        </w:rPr>
        <w:t>Période : 01/01/202</w:t>
      </w:r>
      <w:r w:rsidR="00F15AC7">
        <w:rPr>
          <w:lang w:val="fr-FR"/>
        </w:rPr>
        <w:t>2</w:t>
      </w:r>
      <w:r w:rsidRPr="00A8041F">
        <w:rPr>
          <w:lang w:val="fr-FR"/>
        </w:rPr>
        <w:t xml:space="preserve"> et 3</w:t>
      </w:r>
      <w:r w:rsidR="00062A08">
        <w:rPr>
          <w:lang w:val="fr-FR"/>
        </w:rPr>
        <w:t>0</w:t>
      </w:r>
      <w:r w:rsidRPr="00A8041F">
        <w:rPr>
          <w:lang w:val="fr-FR"/>
        </w:rPr>
        <w:t>/</w:t>
      </w:r>
      <w:r w:rsidR="00F15AC7">
        <w:rPr>
          <w:lang w:val="fr-FR"/>
        </w:rPr>
        <w:t>0</w:t>
      </w:r>
      <w:r w:rsidR="00062A08">
        <w:rPr>
          <w:lang w:val="fr-FR"/>
        </w:rPr>
        <w:t>6</w:t>
      </w:r>
      <w:r w:rsidRPr="00A8041F">
        <w:rPr>
          <w:lang w:val="fr-FR"/>
        </w:rPr>
        <w:t>/202</w:t>
      </w:r>
      <w:r w:rsidR="00F15AC7">
        <w:rPr>
          <w:lang w:val="fr-FR"/>
        </w:rPr>
        <w:t>2</w:t>
      </w:r>
    </w:p>
    <w:tbl>
      <w:tblPr>
        <w:tblStyle w:val="BasicTable"/>
        <w:tblW w:w="0" w:type="auto"/>
        <w:tblLayout w:type="fixed"/>
        <w:tblLook w:val="04A0" w:firstRow="1" w:lastRow="0" w:firstColumn="1" w:lastColumn="0" w:noHBand="0" w:noVBand="1"/>
      </w:tblPr>
      <w:tblGrid>
        <w:gridCol w:w="2684"/>
        <w:gridCol w:w="1417"/>
        <w:gridCol w:w="1839"/>
        <w:gridCol w:w="1839"/>
      </w:tblGrid>
      <w:tr w:rsidR="004D124F" w:rsidRPr="00C74F8D" w14:paraId="0D748EB5" w14:textId="77777777" w:rsidTr="004D12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tcPr>
          <w:p w14:paraId="3A3B2BF0" w14:textId="77777777" w:rsidR="004D124F" w:rsidRPr="00A8041F" w:rsidRDefault="004D124F" w:rsidP="004D124F">
            <w:pPr>
              <w:pStyle w:val="Geenafstand"/>
              <w:rPr>
                <w:rStyle w:val="Zwaar"/>
                <w:b/>
                <w:bCs w:val="0"/>
                <w:lang w:val="fr-FR"/>
              </w:rPr>
            </w:pPr>
          </w:p>
        </w:tc>
        <w:tc>
          <w:tcPr>
            <w:tcW w:w="1417" w:type="dxa"/>
          </w:tcPr>
          <w:p w14:paraId="0B1179FF" w14:textId="77777777" w:rsidR="004D124F" w:rsidRPr="00A8041F" w:rsidRDefault="004D124F" w:rsidP="004D124F">
            <w:pPr>
              <w:pStyle w:val="Geenafstand"/>
              <w:jc w:val="right"/>
              <w:cnfStyle w:val="100000000000" w:firstRow="1" w:lastRow="0" w:firstColumn="0" w:lastColumn="0" w:oddVBand="0" w:evenVBand="0" w:oddHBand="0" w:evenHBand="0" w:firstRowFirstColumn="0" w:firstRowLastColumn="0" w:lastRowFirstColumn="0" w:lastRowLastColumn="0"/>
              <w:rPr>
                <w:rStyle w:val="Zwaar"/>
                <w:b/>
                <w:bCs w:val="0"/>
                <w:lang w:val="fr-FR"/>
              </w:rPr>
            </w:pPr>
            <w:r w:rsidRPr="00A8041F">
              <w:rPr>
                <w:lang w:val="fr-FR"/>
              </w:rPr>
              <w:t>Nombre de factures</w:t>
            </w:r>
          </w:p>
        </w:tc>
        <w:tc>
          <w:tcPr>
            <w:tcW w:w="1839" w:type="dxa"/>
          </w:tcPr>
          <w:p w14:paraId="3881DD04" w14:textId="77777777" w:rsidR="004D124F" w:rsidRPr="00A8041F" w:rsidRDefault="004D124F" w:rsidP="004D124F">
            <w:pPr>
              <w:pStyle w:val="Geenafstand"/>
              <w:jc w:val="center"/>
              <w:cnfStyle w:val="100000000000" w:firstRow="1" w:lastRow="0" w:firstColumn="0" w:lastColumn="0" w:oddVBand="0" w:evenVBand="0" w:oddHBand="0" w:evenHBand="0" w:firstRowFirstColumn="0" w:firstRowLastColumn="0" w:lastRowFirstColumn="0" w:lastRowLastColumn="0"/>
              <w:rPr>
                <w:rStyle w:val="Zwaar"/>
                <w:b/>
                <w:bCs w:val="0"/>
                <w:lang w:val="fr-FR"/>
              </w:rPr>
            </w:pPr>
            <w:r w:rsidRPr="00A8041F">
              <w:rPr>
                <w:lang w:val="fr-FR"/>
              </w:rPr>
              <w:t>Par rapport à la date de la facture</w:t>
            </w:r>
          </w:p>
        </w:tc>
        <w:tc>
          <w:tcPr>
            <w:tcW w:w="1839" w:type="dxa"/>
          </w:tcPr>
          <w:p w14:paraId="6908B0D3" w14:textId="77777777" w:rsidR="004D124F" w:rsidRPr="00A8041F" w:rsidRDefault="004D124F" w:rsidP="004D124F">
            <w:pPr>
              <w:pStyle w:val="Geenafstand"/>
              <w:jc w:val="center"/>
              <w:cnfStyle w:val="100000000000" w:firstRow="1" w:lastRow="0" w:firstColumn="0" w:lastColumn="0" w:oddVBand="0" w:evenVBand="0" w:oddHBand="0" w:evenHBand="0" w:firstRowFirstColumn="0" w:firstRowLastColumn="0" w:lastRowFirstColumn="0" w:lastRowLastColumn="0"/>
              <w:rPr>
                <w:rStyle w:val="Zwaar"/>
                <w:b/>
                <w:bCs w:val="0"/>
                <w:lang w:val="fr-FR"/>
              </w:rPr>
            </w:pPr>
            <w:r w:rsidRPr="00A8041F">
              <w:rPr>
                <w:lang w:val="fr-FR"/>
              </w:rPr>
              <w:t>Par rapport à la date de saisie</w:t>
            </w:r>
          </w:p>
        </w:tc>
      </w:tr>
      <w:tr w:rsidR="00F15AC7" w:rsidRPr="009E62D4" w14:paraId="439178A4" w14:textId="77777777" w:rsidTr="004D124F">
        <w:tc>
          <w:tcPr>
            <w:cnfStyle w:val="001000000000" w:firstRow="0" w:lastRow="0" w:firstColumn="1" w:lastColumn="0" w:oddVBand="0" w:evenVBand="0" w:oddHBand="0" w:evenHBand="0" w:firstRowFirstColumn="0" w:firstRowLastColumn="0" w:lastRowFirstColumn="0" w:lastRowLastColumn="0"/>
            <w:tcW w:w="2684" w:type="dxa"/>
          </w:tcPr>
          <w:p w14:paraId="5FE597BD" w14:textId="2933A365" w:rsidR="00F15AC7" w:rsidRPr="00A8041F" w:rsidRDefault="00F15AC7" w:rsidP="00F15AC7">
            <w:pPr>
              <w:pStyle w:val="Geenafstand"/>
              <w:rPr>
                <w:rStyle w:val="Zwaar"/>
                <w:bCs w:val="0"/>
                <w:lang w:val="fr-FR"/>
              </w:rPr>
            </w:pPr>
            <w:r w:rsidRPr="00A8041F">
              <w:rPr>
                <w:rStyle w:val="Zwaar"/>
                <w:b/>
                <w:bCs w:val="0"/>
                <w:lang w:val="fr-FR"/>
              </w:rPr>
              <w:t>Défense</w:t>
            </w:r>
          </w:p>
        </w:tc>
        <w:tc>
          <w:tcPr>
            <w:tcW w:w="1417" w:type="dxa"/>
            <w:vAlign w:val="top"/>
          </w:tcPr>
          <w:p w14:paraId="05FB161D" w14:textId="6A2C4333" w:rsidR="00F15AC7" w:rsidRPr="009E62D4" w:rsidRDefault="00003539" w:rsidP="00F15AC7">
            <w:pPr>
              <w:pStyle w:val="Geenafstand"/>
              <w:jc w:val="right"/>
              <w:cnfStyle w:val="000000000000" w:firstRow="0" w:lastRow="0" w:firstColumn="0" w:lastColumn="0" w:oddVBand="0" w:evenVBand="0" w:oddHBand="0" w:evenHBand="0" w:firstRowFirstColumn="0" w:firstRowLastColumn="0" w:lastRowFirstColumn="0" w:lastRowLastColumn="0"/>
              <w:rPr>
                <w:lang w:val="fr-FR"/>
              </w:rPr>
            </w:pPr>
            <w:r>
              <w:t>36.410</w:t>
            </w:r>
          </w:p>
        </w:tc>
        <w:tc>
          <w:tcPr>
            <w:tcW w:w="1839" w:type="dxa"/>
            <w:vAlign w:val="top"/>
          </w:tcPr>
          <w:p w14:paraId="0C8C11F5" w14:textId="1A4E919D" w:rsidR="00F15AC7" w:rsidRPr="009E62D4" w:rsidRDefault="00F15AC7" w:rsidP="00F15AC7">
            <w:pPr>
              <w:pStyle w:val="Geenafstand"/>
              <w:jc w:val="center"/>
              <w:cnfStyle w:val="000000000000" w:firstRow="0" w:lastRow="0" w:firstColumn="0" w:lastColumn="0" w:oddVBand="0" w:evenVBand="0" w:oddHBand="0" w:evenHBand="0" w:firstRowFirstColumn="0" w:firstRowLastColumn="0" w:lastRowFirstColumn="0" w:lastRowLastColumn="0"/>
              <w:rPr>
                <w:lang w:val="fr-FR"/>
              </w:rPr>
            </w:pPr>
            <w:r w:rsidRPr="00360104">
              <w:t>38</w:t>
            </w:r>
          </w:p>
        </w:tc>
        <w:tc>
          <w:tcPr>
            <w:tcW w:w="1839" w:type="dxa"/>
            <w:vAlign w:val="top"/>
          </w:tcPr>
          <w:p w14:paraId="7499990D" w14:textId="3D2BFC48" w:rsidR="00F15AC7" w:rsidRPr="009E62D4" w:rsidRDefault="00003539" w:rsidP="00F15AC7">
            <w:pPr>
              <w:pStyle w:val="Geenafstand"/>
              <w:jc w:val="center"/>
              <w:cnfStyle w:val="000000000000" w:firstRow="0" w:lastRow="0" w:firstColumn="0" w:lastColumn="0" w:oddVBand="0" w:evenVBand="0" w:oddHBand="0" w:evenHBand="0" w:firstRowFirstColumn="0" w:firstRowLastColumn="0" w:lastRowFirstColumn="0" w:lastRowLastColumn="0"/>
              <w:rPr>
                <w:lang w:val="fr-FR"/>
              </w:rPr>
            </w:pPr>
            <w:r>
              <w:t>7</w:t>
            </w:r>
          </w:p>
        </w:tc>
      </w:tr>
      <w:tr w:rsidR="00F15AC7" w:rsidRPr="00A8041F" w14:paraId="0BD691F6" w14:textId="77777777" w:rsidTr="004D124F">
        <w:tc>
          <w:tcPr>
            <w:cnfStyle w:val="001000000000" w:firstRow="0" w:lastRow="0" w:firstColumn="1" w:lastColumn="0" w:oddVBand="0" w:evenVBand="0" w:oddHBand="0" w:evenHBand="0" w:firstRowFirstColumn="0" w:firstRowLastColumn="0" w:lastRowFirstColumn="0" w:lastRowLastColumn="0"/>
            <w:tcW w:w="2684" w:type="dxa"/>
          </w:tcPr>
          <w:p w14:paraId="52713F1B" w14:textId="77777777" w:rsidR="00F15AC7" w:rsidRPr="00A8041F" w:rsidRDefault="00F15AC7" w:rsidP="00F15AC7">
            <w:pPr>
              <w:pStyle w:val="Geenafstand"/>
              <w:rPr>
                <w:rStyle w:val="Zwaar"/>
                <w:b/>
                <w:bCs w:val="0"/>
                <w:lang w:val="fr-FR"/>
              </w:rPr>
            </w:pPr>
            <w:r w:rsidRPr="00A8041F">
              <w:rPr>
                <w:rStyle w:val="Zwaar"/>
                <w:b/>
                <w:bCs w:val="0"/>
                <w:lang w:val="fr-FR"/>
              </w:rPr>
              <w:t>SPF Finances</w:t>
            </w:r>
          </w:p>
        </w:tc>
        <w:tc>
          <w:tcPr>
            <w:tcW w:w="1417" w:type="dxa"/>
            <w:vAlign w:val="top"/>
          </w:tcPr>
          <w:p w14:paraId="5D8EC0EE" w14:textId="165E50F7" w:rsidR="00F15AC7" w:rsidRPr="00A8041F" w:rsidRDefault="00003539" w:rsidP="00F15AC7">
            <w:pPr>
              <w:pStyle w:val="Geenafstand"/>
              <w:jc w:val="right"/>
              <w:cnfStyle w:val="000000000000" w:firstRow="0" w:lastRow="0" w:firstColumn="0" w:lastColumn="0" w:oddVBand="0" w:evenVBand="0" w:oddHBand="0" w:evenHBand="0" w:firstRowFirstColumn="0" w:firstRowLastColumn="0" w:lastRowFirstColumn="0" w:lastRowLastColumn="0"/>
              <w:rPr>
                <w:lang w:val="fr-FR"/>
              </w:rPr>
            </w:pPr>
            <w:r>
              <w:t>21.463</w:t>
            </w:r>
          </w:p>
        </w:tc>
        <w:tc>
          <w:tcPr>
            <w:tcW w:w="1839" w:type="dxa"/>
            <w:vAlign w:val="top"/>
          </w:tcPr>
          <w:p w14:paraId="488C474C" w14:textId="7EFD88E7" w:rsidR="00F15AC7" w:rsidRPr="00A8041F" w:rsidRDefault="00F15AC7" w:rsidP="00F15AC7">
            <w:pPr>
              <w:pStyle w:val="Geenafstand"/>
              <w:jc w:val="center"/>
              <w:cnfStyle w:val="000000000000" w:firstRow="0" w:lastRow="0" w:firstColumn="0" w:lastColumn="0" w:oddVBand="0" w:evenVBand="0" w:oddHBand="0" w:evenHBand="0" w:firstRowFirstColumn="0" w:firstRowLastColumn="0" w:lastRowFirstColumn="0" w:lastRowLastColumn="0"/>
              <w:rPr>
                <w:lang w:val="fr-FR"/>
              </w:rPr>
            </w:pPr>
            <w:r w:rsidRPr="00360104">
              <w:t>45</w:t>
            </w:r>
          </w:p>
        </w:tc>
        <w:tc>
          <w:tcPr>
            <w:tcW w:w="1839" w:type="dxa"/>
            <w:vAlign w:val="top"/>
          </w:tcPr>
          <w:p w14:paraId="48980A79" w14:textId="697D0BA9" w:rsidR="00F15AC7" w:rsidRPr="00A8041F" w:rsidRDefault="00F15AC7" w:rsidP="00F15AC7">
            <w:pPr>
              <w:pStyle w:val="Geenafstand"/>
              <w:jc w:val="center"/>
              <w:cnfStyle w:val="000000000000" w:firstRow="0" w:lastRow="0" w:firstColumn="0" w:lastColumn="0" w:oddVBand="0" w:evenVBand="0" w:oddHBand="0" w:evenHBand="0" w:firstRowFirstColumn="0" w:firstRowLastColumn="0" w:lastRowFirstColumn="0" w:lastRowLastColumn="0"/>
              <w:rPr>
                <w:lang w:val="fr-FR"/>
              </w:rPr>
            </w:pPr>
            <w:r w:rsidRPr="00360104">
              <w:t>11</w:t>
            </w:r>
          </w:p>
        </w:tc>
      </w:tr>
      <w:tr w:rsidR="00F15AC7" w:rsidRPr="00A8041F" w14:paraId="42E1B88A" w14:textId="77777777" w:rsidTr="004D124F">
        <w:tc>
          <w:tcPr>
            <w:cnfStyle w:val="001000000000" w:firstRow="0" w:lastRow="0" w:firstColumn="1" w:lastColumn="0" w:oddVBand="0" w:evenVBand="0" w:oddHBand="0" w:evenHBand="0" w:firstRowFirstColumn="0" w:firstRowLastColumn="0" w:lastRowFirstColumn="0" w:lastRowLastColumn="0"/>
            <w:tcW w:w="2684" w:type="dxa"/>
          </w:tcPr>
          <w:p w14:paraId="482B98C3" w14:textId="77777777" w:rsidR="00F15AC7" w:rsidRPr="00A8041F" w:rsidRDefault="00F15AC7" w:rsidP="00F15AC7">
            <w:pPr>
              <w:pStyle w:val="Geenafstand"/>
              <w:rPr>
                <w:rStyle w:val="Zwaar"/>
                <w:bCs w:val="0"/>
                <w:lang w:val="fr-FR"/>
              </w:rPr>
            </w:pPr>
            <w:r w:rsidRPr="00A8041F">
              <w:rPr>
                <w:lang w:val="fr-FR"/>
              </w:rPr>
              <w:t>Total</w:t>
            </w:r>
          </w:p>
        </w:tc>
        <w:tc>
          <w:tcPr>
            <w:tcW w:w="1417" w:type="dxa"/>
            <w:vAlign w:val="top"/>
          </w:tcPr>
          <w:p w14:paraId="4B90594A" w14:textId="7E52B3E5" w:rsidR="00F15AC7" w:rsidRPr="00F15AC7" w:rsidRDefault="00003539" w:rsidP="00F15AC7">
            <w:pPr>
              <w:pStyle w:val="Geenafstand"/>
              <w:jc w:val="right"/>
              <w:cnfStyle w:val="000000000000" w:firstRow="0" w:lastRow="0" w:firstColumn="0" w:lastColumn="0" w:oddVBand="0" w:evenVBand="0" w:oddHBand="0" w:evenHBand="0" w:firstRowFirstColumn="0" w:firstRowLastColumn="0" w:lastRowFirstColumn="0" w:lastRowLastColumn="0"/>
              <w:rPr>
                <w:rStyle w:val="Zwaar"/>
              </w:rPr>
            </w:pPr>
            <w:r>
              <w:rPr>
                <w:rStyle w:val="Zwaar"/>
              </w:rPr>
              <w:t>57.873</w:t>
            </w:r>
          </w:p>
        </w:tc>
        <w:tc>
          <w:tcPr>
            <w:tcW w:w="1839" w:type="dxa"/>
            <w:vAlign w:val="top"/>
          </w:tcPr>
          <w:p w14:paraId="7BBE4DA9" w14:textId="0D27AF67" w:rsidR="00F15AC7" w:rsidRPr="00F15AC7" w:rsidRDefault="00003539" w:rsidP="00F15AC7">
            <w:pPr>
              <w:pStyle w:val="Geenafstand"/>
              <w:jc w:val="center"/>
              <w:cnfStyle w:val="000000000000" w:firstRow="0" w:lastRow="0" w:firstColumn="0" w:lastColumn="0" w:oddVBand="0" w:evenVBand="0" w:oddHBand="0" w:evenHBand="0" w:firstRowFirstColumn="0" w:firstRowLastColumn="0" w:lastRowFirstColumn="0" w:lastRowLastColumn="0"/>
              <w:rPr>
                <w:rStyle w:val="Zwaar"/>
              </w:rPr>
            </w:pPr>
            <w:r>
              <w:rPr>
                <w:rStyle w:val="Zwaar"/>
              </w:rPr>
              <w:t>40</w:t>
            </w:r>
          </w:p>
        </w:tc>
        <w:tc>
          <w:tcPr>
            <w:tcW w:w="1839" w:type="dxa"/>
            <w:vAlign w:val="top"/>
          </w:tcPr>
          <w:p w14:paraId="4EB64E2B" w14:textId="51B250AA" w:rsidR="00F15AC7" w:rsidRPr="00F15AC7" w:rsidRDefault="00003539" w:rsidP="00F15AC7">
            <w:pPr>
              <w:pStyle w:val="Geenafstand"/>
              <w:jc w:val="center"/>
              <w:cnfStyle w:val="000000000000" w:firstRow="0" w:lastRow="0" w:firstColumn="0" w:lastColumn="0" w:oddVBand="0" w:evenVBand="0" w:oddHBand="0" w:evenHBand="0" w:firstRowFirstColumn="0" w:firstRowLastColumn="0" w:lastRowFirstColumn="0" w:lastRowLastColumn="0"/>
              <w:rPr>
                <w:rStyle w:val="Zwaar"/>
              </w:rPr>
            </w:pPr>
            <w:r>
              <w:rPr>
                <w:rStyle w:val="Zwaar"/>
              </w:rPr>
              <w:t>8</w:t>
            </w:r>
          </w:p>
        </w:tc>
      </w:tr>
    </w:tbl>
    <w:p w14:paraId="20552B8F" w14:textId="77777777" w:rsidR="002B35A8" w:rsidRDefault="002B35A8" w:rsidP="004D124F">
      <w:pPr>
        <w:rPr>
          <w:highlight w:val="yellow"/>
          <w:lang w:val="fr-FR"/>
        </w:rPr>
      </w:pPr>
    </w:p>
    <w:p w14:paraId="556B2C29" w14:textId="7E6CD66A" w:rsidR="004D124F" w:rsidRPr="00FF4043" w:rsidRDefault="00810B84" w:rsidP="004D124F">
      <w:pPr>
        <w:rPr>
          <w:lang w:val="fr-FR"/>
        </w:rPr>
      </w:pPr>
      <w:r w:rsidRPr="00810B84">
        <w:rPr>
          <w:lang w:val="fr-FR"/>
        </w:rPr>
        <w:t>Lorsque l'on compare les délais de paiement relatifs à la date de facturation du tableau 5 avec la moyenne de 4</w:t>
      </w:r>
      <w:r w:rsidR="00FF4043">
        <w:rPr>
          <w:lang w:val="fr-FR"/>
        </w:rPr>
        <w:t>7</w:t>
      </w:r>
      <w:r w:rsidRPr="00810B84">
        <w:rPr>
          <w:lang w:val="fr-FR"/>
        </w:rPr>
        <w:t xml:space="preserve"> jours du tableau 1, on constate </w:t>
      </w:r>
      <w:r w:rsidRPr="004D1833">
        <w:rPr>
          <w:lang w:val="fr-FR"/>
        </w:rPr>
        <w:t>que c'est</w:t>
      </w:r>
      <w:r w:rsidR="00FF4043">
        <w:rPr>
          <w:lang w:val="fr-FR"/>
        </w:rPr>
        <w:t xml:space="preserve"> 2</w:t>
      </w:r>
      <w:r w:rsidRPr="004D1833">
        <w:rPr>
          <w:lang w:val="fr-FR"/>
        </w:rPr>
        <w:t xml:space="preserve"> jour</w:t>
      </w:r>
      <w:r w:rsidR="00FF4043">
        <w:rPr>
          <w:lang w:val="fr-FR"/>
        </w:rPr>
        <w:t>s</w:t>
      </w:r>
      <w:r w:rsidRPr="004D1833">
        <w:rPr>
          <w:lang w:val="fr-FR"/>
        </w:rPr>
        <w:t xml:space="preserve"> plus</w:t>
      </w:r>
      <w:r w:rsidR="004D1833" w:rsidRPr="004D1833">
        <w:rPr>
          <w:lang w:val="fr-FR"/>
        </w:rPr>
        <w:t xml:space="preserve"> bas</w:t>
      </w:r>
      <w:r w:rsidRPr="00810B84">
        <w:rPr>
          <w:lang w:val="fr-FR"/>
        </w:rPr>
        <w:t xml:space="preserve"> pour le SPF Finances et </w:t>
      </w:r>
      <w:r w:rsidR="00003539">
        <w:rPr>
          <w:lang w:val="fr-FR"/>
        </w:rPr>
        <w:t>9</w:t>
      </w:r>
      <w:r w:rsidRPr="00810B84">
        <w:rPr>
          <w:lang w:val="fr-FR"/>
        </w:rPr>
        <w:t xml:space="preserve"> jours pour</w:t>
      </w:r>
      <w:r w:rsidR="00003539" w:rsidRPr="00003539">
        <w:rPr>
          <w:lang w:val="fr-FR"/>
        </w:rPr>
        <w:t xml:space="preserve"> Le Ministère de la</w:t>
      </w:r>
      <w:r w:rsidRPr="00810B84">
        <w:rPr>
          <w:lang w:val="fr-FR"/>
        </w:rPr>
        <w:t xml:space="preserve"> </w:t>
      </w:r>
      <w:r w:rsidR="00003539">
        <w:rPr>
          <w:lang w:val="fr-FR"/>
        </w:rPr>
        <w:t>Défense</w:t>
      </w:r>
      <w:r w:rsidRPr="00810B84">
        <w:rPr>
          <w:lang w:val="fr-FR"/>
        </w:rPr>
        <w:t xml:space="preserve">. </w:t>
      </w:r>
    </w:p>
    <w:p w14:paraId="0B8A1377" w14:textId="4C06DC67" w:rsidR="004D124F" w:rsidRPr="00A8041F" w:rsidRDefault="004D124F" w:rsidP="004D124F">
      <w:pPr>
        <w:pStyle w:val="Kop4"/>
        <w:rPr>
          <w:lang w:val="fr-FR"/>
        </w:rPr>
      </w:pPr>
      <w:r w:rsidRPr="00A8041F">
        <w:rPr>
          <w:lang w:val="fr-FR"/>
        </w:rPr>
        <w:lastRenderedPageBreak/>
        <w:t>Tableau </w:t>
      </w:r>
      <w:r>
        <w:rPr>
          <w:lang w:val="fr-FR"/>
        </w:rPr>
        <w:t xml:space="preserve">6 </w:t>
      </w:r>
      <w:r w:rsidRPr="00A8041F">
        <w:rPr>
          <w:lang w:val="fr-FR"/>
        </w:rPr>
        <w:t xml:space="preserve">: </w:t>
      </w:r>
      <w:r w:rsidR="00036A8B">
        <w:rPr>
          <w:lang w:val="fr-FR"/>
        </w:rPr>
        <w:t>D</w:t>
      </w:r>
      <w:r w:rsidRPr="00A8041F">
        <w:rPr>
          <w:lang w:val="fr-FR"/>
        </w:rPr>
        <w:t>élai de paiement par rapport à la date de saisie par mois</w:t>
      </w:r>
    </w:p>
    <w:p w14:paraId="4B19654A" w14:textId="65B86A78" w:rsidR="004D124F" w:rsidRPr="00A8041F" w:rsidRDefault="004D124F" w:rsidP="00597D8F">
      <w:pPr>
        <w:rPr>
          <w:lang w:val="fr-FR"/>
        </w:rPr>
      </w:pPr>
      <w:r w:rsidRPr="00A8041F">
        <w:rPr>
          <w:lang w:val="fr-FR"/>
        </w:rPr>
        <w:t>Période : 01/01/202</w:t>
      </w:r>
      <w:r w:rsidR="004D1833">
        <w:rPr>
          <w:lang w:val="fr-FR"/>
        </w:rPr>
        <w:t>2</w:t>
      </w:r>
      <w:r w:rsidRPr="00A8041F">
        <w:rPr>
          <w:lang w:val="fr-FR"/>
        </w:rPr>
        <w:t xml:space="preserve"> et 3</w:t>
      </w:r>
      <w:r w:rsidR="00062A08">
        <w:rPr>
          <w:lang w:val="fr-FR"/>
        </w:rPr>
        <w:t>0</w:t>
      </w:r>
      <w:r w:rsidRPr="00A8041F">
        <w:rPr>
          <w:lang w:val="fr-FR"/>
        </w:rPr>
        <w:t>/</w:t>
      </w:r>
      <w:r w:rsidR="004D1833">
        <w:rPr>
          <w:lang w:val="fr-FR"/>
        </w:rPr>
        <w:t>0</w:t>
      </w:r>
      <w:r w:rsidR="00062A08">
        <w:rPr>
          <w:lang w:val="fr-FR"/>
        </w:rPr>
        <w:t>6</w:t>
      </w:r>
      <w:r w:rsidRPr="00A8041F">
        <w:rPr>
          <w:lang w:val="fr-FR"/>
        </w:rPr>
        <w:t>/202</w:t>
      </w:r>
      <w:r w:rsidR="004D1833">
        <w:rPr>
          <w:lang w:val="fr-FR"/>
        </w:rPr>
        <w:t>2</w:t>
      </w:r>
    </w:p>
    <w:tbl>
      <w:tblPr>
        <w:tblStyle w:val="BasicTable"/>
        <w:tblW w:w="3253" w:type="pct"/>
        <w:tblLook w:val="04A0" w:firstRow="1" w:lastRow="0" w:firstColumn="1" w:lastColumn="0" w:noHBand="0" w:noVBand="1"/>
      </w:tblPr>
      <w:tblGrid>
        <w:gridCol w:w="2059"/>
        <w:gridCol w:w="596"/>
        <w:gridCol w:w="598"/>
        <w:gridCol w:w="751"/>
        <w:gridCol w:w="751"/>
        <w:gridCol w:w="751"/>
        <w:gridCol w:w="751"/>
      </w:tblGrid>
      <w:tr w:rsidR="002625C9" w:rsidRPr="00A8041F" w14:paraId="0403306A" w14:textId="4FFDA647" w:rsidTr="000035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5" w:type="pct"/>
          </w:tcPr>
          <w:p w14:paraId="284FB667" w14:textId="77777777" w:rsidR="002625C9" w:rsidRPr="00A8041F" w:rsidRDefault="002625C9" w:rsidP="002625C9">
            <w:pPr>
              <w:pStyle w:val="Geenafstand"/>
              <w:rPr>
                <w:lang w:val="fr-FR"/>
              </w:rPr>
            </w:pPr>
          </w:p>
        </w:tc>
        <w:tc>
          <w:tcPr>
            <w:tcW w:w="476" w:type="pct"/>
          </w:tcPr>
          <w:p w14:paraId="15156430" w14:textId="77777777" w:rsidR="002625C9" w:rsidRPr="00A8041F" w:rsidRDefault="002625C9" w:rsidP="002625C9">
            <w:pPr>
              <w:pStyle w:val="Geenafstand"/>
              <w:jc w:val="center"/>
              <w:cnfStyle w:val="100000000000" w:firstRow="1" w:lastRow="0" w:firstColumn="0" w:lastColumn="0" w:oddVBand="0" w:evenVBand="0" w:oddHBand="0" w:evenHBand="0" w:firstRowFirstColumn="0" w:firstRowLastColumn="0" w:lastRowFirstColumn="0" w:lastRowLastColumn="0"/>
              <w:rPr>
                <w:lang w:val="fr-FR"/>
              </w:rPr>
            </w:pPr>
            <w:r w:rsidRPr="00A8041F">
              <w:rPr>
                <w:lang w:val="fr-FR"/>
              </w:rPr>
              <w:t>Jan</w:t>
            </w:r>
          </w:p>
        </w:tc>
        <w:tc>
          <w:tcPr>
            <w:tcW w:w="478" w:type="pct"/>
          </w:tcPr>
          <w:p w14:paraId="70B145F3" w14:textId="77777777" w:rsidR="002625C9" w:rsidRPr="00A8041F" w:rsidRDefault="002625C9" w:rsidP="002625C9">
            <w:pPr>
              <w:pStyle w:val="Geenafstand"/>
              <w:jc w:val="center"/>
              <w:cnfStyle w:val="100000000000" w:firstRow="1" w:lastRow="0" w:firstColumn="0" w:lastColumn="0" w:oddVBand="0" w:evenVBand="0" w:oddHBand="0" w:evenHBand="0" w:firstRowFirstColumn="0" w:firstRowLastColumn="0" w:lastRowFirstColumn="0" w:lastRowLastColumn="0"/>
              <w:rPr>
                <w:lang w:val="fr-FR"/>
              </w:rPr>
            </w:pPr>
            <w:r w:rsidRPr="00A8041F">
              <w:rPr>
                <w:lang w:val="fr-FR"/>
              </w:rPr>
              <w:t>Fév</w:t>
            </w:r>
          </w:p>
        </w:tc>
        <w:tc>
          <w:tcPr>
            <w:tcW w:w="600" w:type="pct"/>
          </w:tcPr>
          <w:p w14:paraId="5BD5642D" w14:textId="77777777" w:rsidR="002625C9" w:rsidRPr="00A8041F" w:rsidRDefault="002625C9" w:rsidP="002625C9">
            <w:pPr>
              <w:pStyle w:val="Geenafstand"/>
              <w:jc w:val="center"/>
              <w:cnfStyle w:val="100000000000" w:firstRow="1" w:lastRow="0" w:firstColumn="0" w:lastColumn="0" w:oddVBand="0" w:evenVBand="0" w:oddHBand="0" w:evenHBand="0" w:firstRowFirstColumn="0" w:firstRowLastColumn="0" w:lastRowFirstColumn="0" w:lastRowLastColumn="0"/>
              <w:rPr>
                <w:lang w:val="fr-FR"/>
              </w:rPr>
            </w:pPr>
            <w:r w:rsidRPr="00A8041F">
              <w:rPr>
                <w:lang w:val="fr-FR"/>
              </w:rPr>
              <w:t>Mars</w:t>
            </w:r>
          </w:p>
        </w:tc>
        <w:tc>
          <w:tcPr>
            <w:tcW w:w="600" w:type="pct"/>
          </w:tcPr>
          <w:p w14:paraId="50E0DB11" w14:textId="6B6CE7D0" w:rsidR="002625C9" w:rsidRPr="00A8041F" w:rsidRDefault="002625C9" w:rsidP="002625C9">
            <w:pPr>
              <w:pStyle w:val="Geenafstand"/>
              <w:jc w:val="center"/>
              <w:cnfStyle w:val="100000000000" w:firstRow="1" w:lastRow="0" w:firstColumn="0" w:lastColumn="0" w:oddVBand="0" w:evenVBand="0" w:oddHBand="0" w:evenHBand="0" w:firstRowFirstColumn="0" w:firstRowLastColumn="0" w:lastRowFirstColumn="0" w:lastRowLastColumn="0"/>
              <w:rPr>
                <w:lang w:val="fr-FR"/>
              </w:rPr>
            </w:pPr>
            <w:r>
              <w:t>Apr</w:t>
            </w:r>
          </w:p>
        </w:tc>
        <w:tc>
          <w:tcPr>
            <w:tcW w:w="600" w:type="pct"/>
          </w:tcPr>
          <w:p w14:paraId="5D40FCE1" w14:textId="7F10B473" w:rsidR="002625C9" w:rsidRPr="00A8041F" w:rsidRDefault="002625C9" w:rsidP="002625C9">
            <w:pPr>
              <w:pStyle w:val="Geenafstand"/>
              <w:jc w:val="center"/>
              <w:cnfStyle w:val="100000000000" w:firstRow="1" w:lastRow="0" w:firstColumn="0" w:lastColumn="0" w:oddVBand="0" w:evenVBand="0" w:oddHBand="0" w:evenHBand="0" w:firstRowFirstColumn="0" w:firstRowLastColumn="0" w:lastRowFirstColumn="0" w:lastRowLastColumn="0"/>
              <w:rPr>
                <w:lang w:val="fr-FR"/>
              </w:rPr>
            </w:pPr>
            <w:r>
              <w:t>Mai</w:t>
            </w:r>
          </w:p>
        </w:tc>
        <w:tc>
          <w:tcPr>
            <w:tcW w:w="600" w:type="pct"/>
          </w:tcPr>
          <w:p w14:paraId="21323E8C" w14:textId="1EE99141" w:rsidR="002625C9" w:rsidRPr="00A8041F" w:rsidRDefault="002625C9" w:rsidP="002625C9">
            <w:pPr>
              <w:pStyle w:val="Geenafstand"/>
              <w:jc w:val="center"/>
              <w:cnfStyle w:val="100000000000" w:firstRow="1" w:lastRow="0" w:firstColumn="0" w:lastColumn="0" w:oddVBand="0" w:evenVBand="0" w:oddHBand="0" w:evenHBand="0" w:firstRowFirstColumn="0" w:firstRowLastColumn="0" w:lastRowFirstColumn="0" w:lastRowLastColumn="0"/>
              <w:rPr>
                <w:lang w:val="fr-FR"/>
              </w:rPr>
            </w:pPr>
            <w:r>
              <w:t>Jun</w:t>
            </w:r>
          </w:p>
        </w:tc>
      </w:tr>
      <w:tr w:rsidR="002625C9" w:rsidRPr="00A8041F" w14:paraId="77FAA5C4" w14:textId="1F964F89" w:rsidTr="00003539">
        <w:tc>
          <w:tcPr>
            <w:cnfStyle w:val="001000000000" w:firstRow="0" w:lastRow="0" w:firstColumn="1" w:lastColumn="0" w:oddVBand="0" w:evenVBand="0" w:oddHBand="0" w:evenHBand="0" w:firstRowFirstColumn="0" w:firstRowLastColumn="0" w:lastRowFirstColumn="0" w:lastRowLastColumn="0"/>
            <w:tcW w:w="1645" w:type="pct"/>
          </w:tcPr>
          <w:p w14:paraId="65BA0DE3" w14:textId="7DC28D5C" w:rsidR="002625C9" w:rsidRPr="00A8041F" w:rsidRDefault="002625C9" w:rsidP="002625C9">
            <w:pPr>
              <w:pStyle w:val="Geenafstand"/>
              <w:rPr>
                <w:rStyle w:val="Zwaar"/>
                <w:bCs w:val="0"/>
                <w:lang w:val="fr-FR"/>
              </w:rPr>
            </w:pPr>
            <w:r w:rsidRPr="00A8041F">
              <w:rPr>
                <w:rStyle w:val="Zwaar"/>
                <w:b/>
                <w:bCs w:val="0"/>
                <w:lang w:val="fr-FR"/>
              </w:rPr>
              <w:t>Défense</w:t>
            </w:r>
          </w:p>
        </w:tc>
        <w:tc>
          <w:tcPr>
            <w:tcW w:w="476" w:type="pct"/>
            <w:vAlign w:val="top"/>
          </w:tcPr>
          <w:p w14:paraId="2DB3A7B7" w14:textId="07F700C6" w:rsidR="002625C9" w:rsidRPr="00A8041F" w:rsidRDefault="002625C9" w:rsidP="002625C9">
            <w:pPr>
              <w:pStyle w:val="Geenafstand"/>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fr-FR"/>
              </w:rPr>
            </w:pPr>
            <w:r w:rsidRPr="0002290E">
              <w:t>9</w:t>
            </w:r>
          </w:p>
        </w:tc>
        <w:tc>
          <w:tcPr>
            <w:tcW w:w="478" w:type="pct"/>
            <w:vAlign w:val="top"/>
          </w:tcPr>
          <w:p w14:paraId="6035E0AF" w14:textId="5FF445AB" w:rsidR="002625C9" w:rsidRPr="00A8041F" w:rsidRDefault="002625C9" w:rsidP="002625C9">
            <w:pPr>
              <w:pStyle w:val="Geenafstand"/>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fr-FR"/>
              </w:rPr>
            </w:pPr>
            <w:r w:rsidRPr="0002290E">
              <w:t>8</w:t>
            </w:r>
          </w:p>
        </w:tc>
        <w:tc>
          <w:tcPr>
            <w:tcW w:w="600" w:type="pct"/>
            <w:vAlign w:val="top"/>
          </w:tcPr>
          <w:p w14:paraId="0DF9852D" w14:textId="56F0F022" w:rsidR="002625C9" w:rsidRPr="00A8041F" w:rsidRDefault="002625C9" w:rsidP="002625C9">
            <w:pPr>
              <w:pStyle w:val="Geenafstand"/>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fr-FR"/>
              </w:rPr>
            </w:pPr>
            <w:r w:rsidRPr="0002290E">
              <w:t>7</w:t>
            </w:r>
          </w:p>
        </w:tc>
        <w:tc>
          <w:tcPr>
            <w:tcW w:w="600" w:type="pct"/>
            <w:vAlign w:val="bottom"/>
          </w:tcPr>
          <w:p w14:paraId="647609F8" w14:textId="017634A6" w:rsidR="002625C9" w:rsidRPr="0002290E" w:rsidRDefault="002625C9" w:rsidP="002625C9">
            <w:pPr>
              <w:pStyle w:val="Geenafstand"/>
              <w:jc w:val="center"/>
              <w:cnfStyle w:val="000000000000" w:firstRow="0" w:lastRow="0" w:firstColumn="0" w:lastColumn="0" w:oddVBand="0" w:evenVBand="0" w:oddHBand="0" w:evenHBand="0" w:firstRowFirstColumn="0" w:firstRowLastColumn="0" w:lastRowFirstColumn="0" w:lastRowLastColumn="0"/>
            </w:pPr>
            <w:r w:rsidRPr="00EF4120">
              <w:rPr>
                <w:rFonts w:ascii="Calibri" w:hAnsi="Calibri" w:cs="Calibri"/>
                <w:color w:val="000000"/>
                <w:szCs w:val="22"/>
              </w:rPr>
              <w:t>5</w:t>
            </w:r>
          </w:p>
        </w:tc>
        <w:tc>
          <w:tcPr>
            <w:tcW w:w="600" w:type="pct"/>
            <w:vAlign w:val="bottom"/>
          </w:tcPr>
          <w:p w14:paraId="1F6948B6" w14:textId="2ECE631A" w:rsidR="002625C9" w:rsidRPr="0002290E" w:rsidRDefault="002625C9" w:rsidP="002625C9">
            <w:pPr>
              <w:pStyle w:val="Geenafstand"/>
              <w:jc w:val="center"/>
              <w:cnfStyle w:val="000000000000" w:firstRow="0" w:lastRow="0" w:firstColumn="0" w:lastColumn="0" w:oddVBand="0" w:evenVBand="0" w:oddHBand="0" w:evenHBand="0" w:firstRowFirstColumn="0" w:firstRowLastColumn="0" w:lastRowFirstColumn="0" w:lastRowLastColumn="0"/>
            </w:pPr>
            <w:r w:rsidRPr="00EF4120">
              <w:rPr>
                <w:rFonts w:ascii="Calibri" w:hAnsi="Calibri" w:cs="Calibri"/>
                <w:color w:val="000000"/>
                <w:szCs w:val="22"/>
              </w:rPr>
              <w:t>5</w:t>
            </w:r>
          </w:p>
        </w:tc>
        <w:tc>
          <w:tcPr>
            <w:tcW w:w="600" w:type="pct"/>
            <w:vAlign w:val="bottom"/>
          </w:tcPr>
          <w:p w14:paraId="25172AE3" w14:textId="3EBCA906" w:rsidR="002625C9" w:rsidRPr="0002290E" w:rsidRDefault="002625C9" w:rsidP="002625C9">
            <w:pPr>
              <w:pStyle w:val="Geenafstand"/>
              <w:jc w:val="center"/>
              <w:cnfStyle w:val="000000000000" w:firstRow="0" w:lastRow="0" w:firstColumn="0" w:lastColumn="0" w:oddVBand="0" w:evenVBand="0" w:oddHBand="0" w:evenHBand="0" w:firstRowFirstColumn="0" w:firstRowLastColumn="0" w:lastRowFirstColumn="0" w:lastRowLastColumn="0"/>
            </w:pPr>
            <w:r w:rsidRPr="00EF4120">
              <w:rPr>
                <w:rFonts w:ascii="Calibri" w:hAnsi="Calibri" w:cs="Calibri"/>
                <w:color w:val="000000"/>
                <w:szCs w:val="22"/>
              </w:rPr>
              <w:t>5</w:t>
            </w:r>
          </w:p>
        </w:tc>
      </w:tr>
      <w:tr w:rsidR="002625C9" w:rsidRPr="00A8041F" w14:paraId="249427BB" w14:textId="04D505DC" w:rsidTr="00003539">
        <w:tc>
          <w:tcPr>
            <w:cnfStyle w:val="001000000000" w:firstRow="0" w:lastRow="0" w:firstColumn="1" w:lastColumn="0" w:oddVBand="0" w:evenVBand="0" w:oddHBand="0" w:evenHBand="0" w:firstRowFirstColumn="0" w:firstRowLastColumn="0" w:lastRowFirstColumn="0" w:lastRowLastColumn="0"/>
            <w:tcW w:w="1645" w:type="pct"/>
          </w:tcPr>
          <w:p w14:paraId="61C77578" w14:textId="77777777" w:rsidR="002625C9" w:rsidRPr="00A8041F" w:rsidRDefault="002625C9" w:rsidP="002625C9">
            <w:pPr>
              <w:pStyle w:val="Geenafstand"/>
              <w:rPr>
                <w:lang w:val="fr-FR"/>
              </w:rPr>
            </w:pPr>
            <w:r w:rsidRPr="00A8041F">
              <w:rPr>
                <w:rStyle w:val="Zwaar"/>
                <w:b/>
                <w:bCs w:val="0"/>
                <w:lang w:val="fr-FR"/>
              </w:rPr>
              <w:t>SPF Finances</w:t>
            </w:r>
          </w:p>
        </w:tc>
        <w:tc>
          <w:tcPr>
            <w:tcW w:w="476" w:type="pct"/>
            <w:vAlign w:val="top"/>
          </w:tcPr>
          <w:p w14:paraId="3BF2548F" w14:textId="503D53D3" w:rsidR="002625C9" w:rsidRPr="00A8041F" w:rsidRDefault="002625C9" w:rsidP="002625C9">
            <w:pPr>
              <w:pStyle w:val="Geenafstand"/>
              <w:jc w:val="center"/>
              <w:cnfStyle w:val="000000000000" w:firstRow="0" w:lastRow="0" w:firstColumn="0" w:lastColumn="0" w:oddVBand="0" w:evenVBand="0" w:oddHBand="0" w:evenHBand="0" w:firstRowFirstColumn="0" w:firstRowLastColumn="0" w:lastRowFirstColumn="0" w:lastRowLastColumn="0"/>
              <w:rPr>
                <w:lang w:val="fr-FR"/>
              </w:rPr>
            </w:pPr>
            <w:r w:rsidRPr="0002290E">
              <w:t>11</w:t>
            </w:r>
          </w:p>
        </w:tc>
        <w:tc>
          <w:tcPr>
            <w:tcW w:w="478" w:type="pct"/>
            <w:vAlign w:val="top"/>
          </w:tcPr>
          <w:p w14:paraId="5AA2D53A" w14:textId="4778F6F6" w:rsidR="002625C9" w:rsidRPr="00A8041F" w:rsidRDefault="002625C9" w:rsidP="002625C9">
            <w:pPr>
              <w:pStyle w:val="Geenafstand"/>
              <w:jc w:val="center"/>
              <w:cnfStyle w:val="000000000000" w:firstRow="0" w:lastRow="0" w:firstColumn="0" w:lastColumn="0" w:oddVBand="0" w:evenVBand="0" w:oddHBand="0" w:evenHBand="0" w:firstRowFirstColumn="0" w:firstRowLastColumn="0" w:lastRowFirstColumn="0" w:lastRowLastColumn="0"/>
              <w:rPr>
                <w:lang w:val="fr-FR"/>
              </w:rPr>
            </w:pPr>
            <w:r w:rsidRPr="0002290E">
              <w:t>11</w:t>
            </w:r>
          </w:p>
        </w:tc>
        <w:tc>
          <w:tcPr>
            <w:tcW w:w="600" w:type="pct"/>
            <w:vAlign w:val="top"/>
          </w:tcPr>
          <w:p w14:paraId="33DB05C3" w14:textId="554C8840" w:rsidR="002625C9" w:rsidRPr="00A8041F" w:rsidRDefault="002625C9" w:rsidP="002625C9">
            <w:pPr>
              <w:pStyle w:val="Geenafstand"/>
              <w:jc w:val="center"/>
              <w:cnfStyle w:val="000000000000" w:firstRow="0" w:lastRow="0" w:firstColumn="0" w:lastColumn="0" w:oddVBand="0" w:evenVBand="0" w:oddHBand="0" w:evenHBand="0" w:firstRowFirstColumn="0" w:firstRowLastColumn="0" w:lastRowFirstColumn="0" w:lastRowLastColumn="0"/>
              <w:rPr>
                <w:lang w:val="fr-FR"/>
              </w:rPr>
            </w:pPr>
            <w:r w:rsidRPr="0002290E">
              <w:t>12</w:t>
            </w:r>
          </w:p>
        </w:tc>
        <w:tc>
          <w:tcPr>
            <w:tcW w:w="600" w:type="pct"/>
            <w:vAlign w:val="bottom"/>
          </w:tcPr>
          <w:p w14:paraId="7B4E6FA8" w14:textId="66AD2295" w:rsidR="002625C9" w:rsidRPr="0002290E" w:rsidRDefault="002625C9" w:rsidP="002625C9">
            <w:pPr>
              <w:pStyle w:val="Geenafstand"/>
              <w:jc w:val="center"/>
              <w:cnfStyle w:val="000000000000" w:firstRow="0" w:lastRow="0" w:firstColumn="0" w:lastColumn="0" w:oddVBand="0" w:evenVBand="0" w:oddHBand="0" w:evenHBand="0" w:firstRowFirstColumn="0" w:firstRowLastColumn="0" w:lastRowFirstColumn="0" w:lastRowLastColumn="0"/>
            </w:pPr>
            <w:r w:rsidRPr="00EF4120">
              <w:rPr>
                <w:rFonts w:ascii="Calibri" w:hAnsi="Calibri" w:cs="Calibri"/>
                <w:color w:val="000000"/>
                <w:szCs w:val="22"/>
              </w:rPr>
              <w:t>12</w:t>
            </w:r>
          </w:p>
        </w:tc>
        <w:tc>
          <w:tcPr>
            <w:tcW w:w="600" w:type="pct"/>
            <w:vAlign w:val="bottom"/>
          </w:tcPr>
          <w:p w14:paraId="0B1E7CB7" w14:textId="1B1496BB" w:rsidR="002625C9" w:rsidRPr="0002290E" w:rsidRDefault="002625C9" w:rsidP="002625C9">
            <w:pPr>
              <w:pStyle w:val="Geenafstand"/>
              <w:jc w:val="center"/>
              <w:cnfStyle w:val="000000000000" w:firstRow="0" w:lastRow="0" w:firstColumn="0" w:lastColumn="0" w:oddVBand="0" w:evenVBand="0" w:oddHBand="0" w:evenHBand="0" w:firstRowFirstColumn="0" w:firstRowLastColumn="0" w:lastRowFirstColumn="0" w:lastRowLastColumn="0"/>
            </w:pPr>
            <w:r w:rsidRPr="00EF4120">
              <w:rPr>
                <w:rFonts w:ascii="Calibri" w:hAnsi="Calibri" w:cs="Calibri"/>
                <w:color w:val="000000"/>
                <w:szCs w:val="22"/>
              </w:rPr>
              <w:t>10</w:t>
            </w:r>
          </w:p>
        </w:tc>
        <w:tc>
          <w:tcPr>
            <w:tcW w:w="600" w:type="pct"/>
            <w:vAlign w:val="bottom"/>
          </w:tcPr>
          <w:p w14:paraId="2BA3358C" w14:textId="7FE74D49" w:rsidR="002625C9" w:rsidRPr="0002290E" w:rsidRDefault="002625C9" w:rsidP="002625C9">
            <w:pPr>
              <w:pStyle w:val="Geenafstand"/>
              <w:jc w:val="center"/>
              <w:cnfStyle w:val="000000000000" w:firstRow="0" w:lastRow="0" w:firstColumn="0" w:lastColumn="0" w:oddVBand="0" w:evenVBand="0" w:oddHBand="0" w:evenHBand="0" w:firstRowFirstColumn="0" w:firstRowLastColumn="0" w:lastRowFirstColumn="0" w:lastRowLastColumn="0"/>
            </w:pPr>
            <w:r w:rsidRPr="00EF4120">
              <w:rPr>
                <w:rFonts w:ascii="Calibri" w:hAnsi="Calibri" w:cs="Calibri"/>
                <w:color w:val="000000"/>
                <w:szCs w:val="22"/>
              </w:rPr>
              <w:t>10</w:t>
            </w:r>
          </w:p>
        </w:tc>
      </w:tr>
      <w:tr w:rsidR="002625C9" w:rsidRPr="00A8041F" w14:paraId="00D09870" w14:textId="605B06D8" w:rsidTr="00003539">
        <w:tc>
          <w:tcPr>
            <w:cnfStyle w:val="001000000000" w:firstRow="0" w:lastRow="0" w:firstColumn="1" w:lastColumn="0" w:oddVBand="0" w:evenVBand="0" w:oddHBand="0" w:evenHBand="0" w:firstRowFirstColumn="0" w:firstRowLastColumn="0" w:lastRowFirstColumn="0" w:lastRowLastColumn="0"/>
            <w:tcW w:w="1645" w:type="pct"/>
          </w:tcPr>
          <w:p w14:paraId="40D5BAA0" w14:textId="77777777" w:rsidR="002625C9" w:rsidRPr="00A8041F" w:rsidRDefault="002625C9" w:rsidP="002625C9">
            <w:pPr>
              <w:pStyle w:val="Geenafstand"/>
              <w:rPr>
                <w:lang w:val="fr-FR"/>
              </w:rPr>
            </w:pPr>
            <w:r>
              <w:rPr>
                <w:lang w:val="fr-FR"/>
              </w:rPr>
              <w:t>Moyenne</w:t>
            </w:r>
          </w:p>
        </w:tc>
        <w:tc>
          <w:tcPr>
            <w:tcW w:w="476" w:type="pct"/>
            <w:vAlign w:val="top"/>
          </w:tcPr>
          <w:p w14:paraId="6265715A" w14:textId="348468C9" w:rsidR="002625C9" w:rsidRPr="004D1833" w:rsidRDefault="00003539" w:rsidP="002625C9">
            <w:pPr>
              <w:pStyle w:val="Geenafstand"/>
              <w:jc w:val="center"/>
              <w:cnfStyle w:val="000000000000" w:firstRow="0" w:lastRow="0" w:firstColumn="0" w:lastColumn="0" w:oddVBand="0" w:evenVBand="0" w:oddHBand="0" w:evenHBand="0" w:firstRowFirstColumn="0" w:firstRowLastColumn="0" w:lastRowFirstColumn="0" w:lastRowLastColumn="0"/>
              <w:rPr>
                <w:rStyle w:val="Zwaar"/>
              </w:rPr>
            </w:pPr>
            <w:r>
              <w:rPr>
                <w:rStyle w:val="Zwaar"/>
              </w:rPr>
              <w:t>10</w:t>
            </w:r>
          </w:p>
        </w:tc>
        <w:tc>
          <w:tcPr>
            <w:tcW w:w="478" w:type="pct"/>
            <w:vAlign w:val="top"/>
          </w:tcPr>
          <w:p w14:paraId="68BA72BE" w14:textId="56B4B6E4" w:rsidR="002625C9" w:rsidRPr="004D1833" w:rsidRDefault="00003539" w:rsidP="002625C9">
            <w:pPr>
              <w:pStyle w:val="Geenafstand"/>
              <w:jc w:val="center"/>
              <w:cnfStyle w:val="000000000000" w:firstRow="0" w:lastRow="0" w:firstColumn="0" w:lastColumn="0" w:oddVBand="0" w:evenVBand="0" w:oddHBand="0" w:evenHBand="0" w:firstRowFirstColumn="0" w:firstRowLastColumn="0" w:lastRowFirstColumn="0" w:lastRowLastColumn="0"/>
              <w:rPr>
                <w:rStyle w:val="Zwaar"/>
              </w:rPr>
            </w:pPr>
            <w:r>
              <w:rPr>
                <w:rStyle w:val="Zwaar"/>
              </w:rPr>
              <w:t>9</w:t>
            </w:r>
          </w:p>
        </w:tc>
        <w:tc>
          <w:tcPr>
            <w:tcW w:w="600" w:type="pct"/>
            <w:vAlign w:val="top"/>
          </w:tcPr>
          <w:p w14:paraId="53D0D630" w14:textId="6DD93ACB" w:rsidR="002625C9" w:rsidRPr="004D1833" w:rsidRDefault="00003539" w:rsidP="002625C9">
            <w:pPr>
              <w:pStyle w:val="Geenafstand"/>
              <w:jc w:val="center"/>
              <w:cnfStyle w:val="000000000000" w:firstRow="0" w:lastRow="0" w:firstColumn="0" w:lastColumn="0" w:oddVBand="0" w:evenVBand="0" w:oddHBand="0" w:evenHBand="0" w:firstRowFirstColumn="0" w:firstRowLastColumn="0" w:lastRowFirstColumn="0" w:lastRowLastColumn="0"/>
              <w:rPr>
                <w:rStyle w:val="Zwaar"/>
              </w:rPr>
            </w:pPr>
            <w:r>
              <w:rPr>
                <w:rStyle w:val="Zwaar"/>
              </w:rPr>
              <w:t>9</w:t>
            </w:r>
          </w:p>
        </w:tc>
        <w:tc>
          <w:tcPr>
            <w:tcW w:w="600" w:type="pct"/>
            <w:vAlign w:val="bottom"/>
          </w:tcPr>
          <w:p w14:paraId="1F2276F2" w14:textId="41B16226" w:rsidR="002625C9" w:rsidRDefault="00003539" w:rsidP="002625C9">
            <w:pPr>
              <w:pStyle w:val="Geenafstand"/>
              <w:jc w:val="center"/>
              <w:cnfStyle w:val="000000000000" w:firstRow="0" w:lastRow="0" w:firstColumn="0" w:lastColumn="0" w:oddVBand="0" w:evenVBand="0" w:oddHBand="0" w:evenHBand="0" w:firstRowFirstColumn="0" w:firstRowLastColumn="0" w:lastRowFirstColumn="0" w:lastRowLastColumn="0"/>
              <w:rPr>
                <w:rStyle w:val="Zwaar"/>
              </w:rPr>
            </w:pPr>
            <w:r>
              <w:rPr>
                <w:rStyle w:val="Zwaar"/>
              </w:rPr>
              <w:t>9</w:t>
            </w:r>
          </w:p>
        </w:tc>
        <w:tc>
          <w:tcPr>
            <w:tcW w:w="600" w:type="pct"/>
            <w:vAlign w:val="bottom"/>
          </w:tcPr>
          <w:p w14:paraId="0839D9AA" w14:textId="4D0F34EE" w:rsidR="002625C9" w:rsidRDefault="00003539" w:rsidP="002625C9">
            <w:pPr>
              <w:pStyle w:val="Geenafstand"/>
              <w:jc w:val="center"/>
              <w:cnfStyle w:val="000000000000" w:firstRow="0" w:lastRow="0" w:firstColumn="0" w:lastColumn="0" w:oddVBand="0" w:evenVBand="0" w:oddHBand="0" w:evenHBand="0" w:firstRowFirstColumn="0" w:firstRowLastColumn="0" w:lastRowFirstColumn="0" w:lastRowLastColumn="0"/>
              <w:rPr>
                <w:rStyle w:val="Zwaar"/>
              </w:rPr>
            </w:pPr>
            <w:r>
              <w:rPr>
                <w:rStyle w:val="Zwaar"/>
              </w:rPr>
              <w:t>7</w:t>
            </w:r>
          </w:p>
        </w:tc>
        <w:tc>
          <w:tcPr>
            <w:tcW w:w="600" w:type="pct"/>
            <w:vAlign w:val="bottom"/>
          </w:tcPr>
          <w:p w14:paraId="2E6007A1" w14:textId="5B6E623B" w:rsidR="002625C9" w:rsidRDefault="00003539" w:rsidP="002625C9">
            <w:pPr>
              <w:pStyle w:val="Geenafstand"/>
              <w:jc w:val="center"/>
              <w:cnfStyle w:val="000000000000" w:firstRow="0" w:lastRow="0" w:firstColumn="0" w:lastColumn="0" w:oddVBand="0" w:evenVBand="0" w:oddHBand="0" w:evenHBand="0" w:firstRowFirstColumn="0" w:firstRowLastColumn="0" w:lastRowFirstColumn="0" w:lastRowLastColumn="0"/>
              <w:rPr>
                <w:rStyle w:val="Zwaar"/>
              </w:rPr>
            </w:pPr>
            <w:r>
              <w:rPr>
                <w:rStyle w:val="Zwaar"/>
              </w:rPr>
              <w:t>7</w:t>
            </w:r>
          </w:p>
        </w:tc>
      </w:tr>
    </w:tbl>
    <w:p w14:paraId="5D74BB48" w14:textId="77777777" w:rsidR="004D124F" w:rsidRPr="00A8041F" w:rsidRDefault="004D124F" w:rsidP="004D124F">
      <w:pPr>
        <w:pStyle w:val="Geenafstand"/>
        <w:rPr>
          <w:lang w:val="fr-FR"/>
        </w:rPr>
      </w:pPr>
    </w:p>
    <w:p w14:paraId="08F05AEE" w14:textId="77777777" w:rsidR="004D124F" w:rsidRPr="00A8041F" w:rsidRDefault="004D124F" w:rsidP="004D124F">
      <w:pPr>
        <w:rPr>
          <w:lang w:val="fr-FR"/>
        </w:rPr>
      </w:pPr>
    </w:p>
    <w:p w14:paraId="7E861EF6" w14:textId="5E204DF4" w:rsidR="00E42E0B" w:rsidRDefault="00E42E0B" w:rsidP="002D3EB7">
      <w:pPr>
        <w:rPr>
          <w:lang w:val="fr-FR"/>
        </w:rPr>
      </w:pPr>
    </w:p>
    <w:p w14:paraId="185B771D" w14:textId="77777777" w:rsidR="00E42E0B" w:rsidRDefault="00E42E0B">
      <w:pPr>
        <w:suppressAutoHyphens w:val="0"/>
        <w:spacing w:after="0" w:line="240" w:lineRule="auto"/>
        <w:rPr>
          <w:lang w:val="fr-FR"/>
        </w:rPr>
      </w:pPr>
      <w:r>
        <w:rPr>
          <w:lang w:val="fr-FR"/>
        </w:rPr>
        <w:br w:type="page"/>
      </w:r>
    </w:p>
    <w:p w14:paraId="0095E41C" w14:textId="77777777" w:rsidR="00E42E0B" w:rsidRDefault="00E42E0B" w:rsidP="002D3EB7">
      <w:pPr>
        <w:rPr>
          <w:lang w:val="fr-FR"/>
        </w:rPr>
        <w:sectPr w:rsidR="00E42E0B" w:rsidSect="00B03809">
          <w:footerReference w:type="default" r:id="rId12"/>
          <w:headerReference w:type="first" r:id="rId13"/>
          <w:footerReference w:type="first" r:id="rId14"/>
          <w:endnotePr>
            <w:numFmt w:val="decimal"/>
          </w:endnotePr>
          <w:pgSz w:w="11906" w:h="16838"/>
          <w:pgMar w:top="1134" w:right="1134" w:bottom="1134" w:left="1134" w:header="794" w:footer="794" w:gutter="0"/>
          <w:cols w:space="708"/>
          <w:titlePg/>
          <w:docGrid w:linePitch="360"/>
        </w:sectPr>
      </w:pPr>
    </w:p>
    <w:bookmarkStart w:id="1" w:name="Text19"/>
    <w:p w14:paraId="2060A9D1" w14:textId="77777777" w:rsidR="00E42E0B" w:rsidRPr="004D57F1" w:rsidRDefault="00E42E0B" w:rsidP="00E42E0B">
      <w:pPr>
        <w:spacing w:after="0" w:line="240" w:lineRule="auto"/>
        <w:ind w:left="3402"/>
        <w:jc w:val="right"/>
        <w:rPr>
          <w:color w:val="09181B" w:themeColor="text1"/>
        </w:rPr>
      </w:pPr>
      <w:r>
        <w:rPr>
          <w:color w:val="09181B" w:themeColor="text1"/>
        </w:rPr>
        <w:lastRenderedPageBreak/>
        <w:fldChar w:fldCharType="begin">
          <w:ffData>
            <w:name w:val="Text15"/>
            <w:enabled/>
            <w:calcOnExit w:val="0"/>
            <w:textInput>
              <w:default w:val="Entiteit"/>
            </w:textInput>
          </w:ffData>
        </w:fldChar>
      </w:r>
      <w:bookmarkStart w:id="2" w:name="Text15"/>
      <w:r>
        <w:rPr>
          <w:color w:val="09181B" w:themeColor="text1"/>
        </w:rPr>
        <w:instrText xml:space="preserve"> FORMTEXT </w:instrText>
      </w:r>
      <w:r>
        <w:rPr>
          <w:color w:val="09181B" w:themeColor="text1"/>
        </w:rPr>
      </w:r>
      <w:r>
        <w:rPr>
          <w:color w:val="09181B" w:themeColor="text1"/>
        </w:rPr>
        <w:fldChar w:fldCharType="separate"/>
      </w:r>
      <w:r>
        <w:rPr>
          <w:noProof/>
          <w:color w:val="09181B" w:themeColor="text1"/>
        </w:rPr>
        <w:t>FOD JUSTITIE</w:t>
      </w:r>
      <w:r>
        <w:rPr>
          <w:color w:val="09181B" w:themeColor="text1"/>
        </w:rPr>
        <w:fldChar w:fldCharType="end"/>
      </w:r>
      <w:bookmarkEnd w:id="2"/>
    </w:p>
    <w:p w14:paraId="62342694" w14:textId="25B6E307" w:rsidR="00E42E0B" w:rsidRPr="004D57F1" w:rsidRDefault="00E42E0B" w:rsidP="00E42E0B">
      <w:pPr>
        <w:spacing w:after="0" w:line="240" w:lineRule="auto"/>
        <w:ind w:left="3402"/>
        <w:jc w:val="right"/>
        <w:rPr>
          <w:color w:val="09181B" w:themeColor="text1"/>
        </w:rPr>
      </w:pPr>
    </w:p>
    <w:bookmarkEnd w:id="1"/>
    <w:p w14:paraId="2E72E6D4" w14:textId="74305BCE" w:rsidR="00E42E0B" w:rsidRPr="00AA449C" w:rsidRDefault="000D3A58" w:rsidP="00E42E0B">
      <w:pPr>
        <w:tabs>
          <w:tab w:val="left" w:pos="907"/>
        </w:tabs>
        <w:spacing w:after="0" w:line="240" w:lineRule="atLeast"/>
        <w:rPr>
          <w:b/>
        </w:rPr>
      </w:pPr>
      <w:r>
        <w:rPr>
          <w:noProof/>
          <w:lang w:val="fr-FR" w:eastAsia="fr-FR"/>
        </w:rPr>
        <w:drawing>
          <wp:anchor distT="0" distB="0" distL="114300" distR="114300" simplePos="0" relativeHeight="251659264" behindDoc="1" locked="0" layoutInCell="1" allowOverlap="1" wp14:anchorId="078C6072" wp14:editId="130A28E2">
            <wp:simplePos x="0" y="0"/>
            <wp:positionH relativeFrom="page">
              <wp:posOffset>0</wp:posOffset>
            </wp:positionH>
            <wp:positionV relativeFrom="paragraph">
              <wp:posOffset>112395</wp:posOffset>
            </wp:positionV>
            <wp:extent cx="9043035" cy="10795"/>
            <wp:effectExtent l="0" t="0" r="5715" b="8255"/>
            <wp:wrapNone/>
            <wp:docPr id="3" name="Afbeelding 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90"/>
                    <pic:cNvPicPr>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043035" cy="10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0E0BE4" w14:textId="77777777" w:rsidR="00E42E0B" w:rsidRPr="00AA449C" w:rsidRDefault="00E42E0B" w:rsidP="00E42E0B">
      <w:pPr>
        <w:spacing w:after="0" w:line="240" w:lineRule="atLeast"/>
        <w:sectPr w:rsidR="00E42E0B" w:rsidRPr="00AA449C" w:rsidSect="00A210D8">
          <w:headerReference w:type="default" r:id="rId16"/>
          <w:footerReference w:type="default" r:id="rId17"/>
          <w:headerReference w:type="first" r:id="rId18"/>
          <w:footerReference w:type="first" r:id="rId19"/>
          <w:endnotePr>
            <w:numFmt w:val="decimal"/>
          </w:endnotePr>
          <w:pgSz w:w="11906" w:h="16838"/>
          <w:pgMar w:top="1134" w:right="1134" w:bottom="1134" w:left="1134" w:header="794" w:footer="794" w:gutter="0"/>
          <w:cols w:space="708"/>
          <w:titlePg/>
          <w:docGrid w:linePitch="360"/>
        </w:sectPr>
      </w:pPr>
    </w:p>
    <w:p w14:paraId="7AEAD821" w14:textId="07A808DE" w:rsidR="00E42E0B" w:rsidRPr="001446F0" w:rsidRDefault="00E42E0B" w:rsidP="00E42E0B">
      <w:pPr>
        <w:framePr w:w="4553" w:h="1440" w:hRule="exact" w:wrap="around" w:vAnchor="page" w:hAnchor="page" w:x="6805" w:y="2269" w:anchorLock="1"/>
        <w:pBdr>
          <w:top w:val="dashed" w:sz="2" w:space="1" w:color="C7F0F5"/>
          <w:left w:val="dashed" w:sz="2" w:space="4" w:color="C7F0F5"/>
          <w:bottom w:val="dashed" w:sz="2" w:space="1" w:color="C7F0F5"/>
          <w:right w:val="dashed" w:sz="2" w:space="4" w:color="C7F0F5"/>
        </w:pBdr>
        <w:spacing w:after="0" w:line="240" w:lineRule="atLeast"/>
        <w:rPr>
          <w:lang w:val="fr-FR"/>
        </w:rPr>
      </w:pPr>
      <w:r>
        <w:t>A</w:t>
      </w:r>
      <w:r w:rsidR="00A76C5D">
        <w:t xml:space="preserve">u SPF </w:t>
      </w:r>
      <w:r>
        <w:t>BOSA</w:t>
      </w:r>
    </w:p>
    <w:p w14:paraId="27D65ABD" w14:textId="7EFEFD37" w:rsidR="00E42E0B" w:rsidRDefault="00E42E0B" w:rsidP="00E42E0B">
      <w:pPr>
        <w:spacing w:after="0"/>
      </w:pPr>
    </w:p>
    <w:p w14:paraId="17452FF4" w14:textId="61BA98B7" w:rsidR="000D3A58" w:rsidRDefault="000D3A58" w:rsidP="00E42E0B">
      <w:pPr>
        <w:spacing w:after="0"/>
      </w:pPr>
    </w:p>
    <w:p w14:paraId="4E819DCA" w14:textId="77777777" w:rsidR="000D3A58" w:rsidRDefault="000D3A58" w:rsidP="00E42E0B">
      <w:pPr>
        <w:spacing w:after="0"/>
      </w:pPr>
    </w:p>
    <w:p w14:paraId="5F6FA33D" w14:textId="77777777" w:rsidR="000D3A58" w:rsidRDefault="000D3A58" w:rsidP="00E42E0B">
      <w:pPr>
        <w:spacing w:after="0"/>
      </w:pPr>
    </w:p>
    <w:p w14:paraId="6563C000" w14:textId="77777777" w:rsidR="00E42E0B" w:rsidRDefault="00E42E0B" w:rsidP="00E42E0B">
      <w:pPr>
        <w:spacing w:after="0"/>
      </w:pPr>
    </w:p>
    <w:p w14:paraId="21DE43E2" w14:textId="77777777" w:rsidR="00E42E0B" w:rsidRDefault="00E42E0B" w:rsidP="00E42E0B">
      <w:pPr>
        <w:spacing w:after="0"/>
        <w:sectPr w:rsidR="00E42E0B" w:rsidSect="00401538">
          <w:type w:val="continuous"/>
          <w:pgSz w:w="11906" w:h="16838" w:code="9"/>
          <w:pgMar w:top="851" w:right="851" w:bottom="1418" w:left="851" w:header="284" w:footer="510" w:gutter="0"/>
          <w:cols w:space="708"/>
          <w:formProt w:val="0"/>
          <w:titlePg/>
          <w:docGrid w:linePitch="272"/>
        </w:sectPr>
      </w:pPr>
    </w:p>
    <w:p w14:paraId="66DF0233" w14:textId="77777777" w:rsidR="00E42E0B" w:rsidRDefault="00E42E0B" w:rsidP="00E42E0B">
      <w:pPr>
        <w:spacing w:after="0"/>
      </w:pPr>
    </w:p>
    <w:p w14:paraId="14645B36" w14:textId="77777777" w:rsidR="00E42E0B" w:rsidRPr="006E1F6F" w:rsidRDefault="00E42E0B" w:rsidP="00E42E0B">
      <w:pPr>
        <w:pBdr>
          <w:top w:val="single" w:sz="4" w:space="1" w:color="auto"/>
          <w:left w:val="single" w:sz="4" w:space="4" w:color="auto"/>
          <w:bottom w:val="single" w:sz="4" w:space="1" w:color="auto"/>
          <w:right w:val="single" w:sz="4" w:space="4" w:color="auto"/>
        </w:pBdr>
        <w:spacing w:after="0"/>
        <w:rPr>
          <w:sz w:val="22"/>
          <w:szCs w:val="22"/>
          <w:lang w:val="fr-FR"/>
        </w:rPr>
      </w:pPr>
      <w:r w:rsidRPr="006E1F6F">
        <w:rPr>
          <w:sz w:val="22"/>
          <w:szCs w:val="22"/>
          <w:lang w:val="fr-FR"/>
        </w:rPr>
        <w:t>ANNEE 2022</w:t>
      </w:r>
    </w:p>
    <w:p w14:paraId="690BE3AE" w14:textId="77777777" w:rsidR="00E42E0B" w:rsidRPr="006E1F6F" w:rsidRDefault="00E42E0B" w:rsidP="00E42E0B">
      <w:pPr>
        <w:pBdr>
          <w:top w:val="single" w:sz="4" w:space="1" w:color="auto"/>
          <w:left w:val="single" w:sz="4" w:space="4" w:color="auto"/>
          <w:bottom w:val="single" w:sz="4" w:space="1" w:color="auto"/>
          <w:right w:val="single" w:sz="4" w:space="4" w:color="auto"/>
        </w:pBdr>
        <w:spacing w:after="0"/>
        <w:rPr>
          <w:sz w:val="22"/>
          <w:szCs w:val="22"/>
          <w:lang w:val="fr-FR"/>
        </w:rPr>
      </w:pPr>
      <w:r w:rsidRPr="006E1F6F">
        <w:rPr>
          <w:sz w:val="22"/>
          <w:szCs w:val="22"/>
          <w:lang w:val="fr-FR"/>
        </w:rPr>
        <w:t xml:space="preserve">1er semestre </w:t>
      </w:r>
    </w:p>
    <w:p w14:paraId="082A8BD7" w14:textId="77777777" w:rsidR="00E42E0B" w:rsidRPr="008914AD" w:rsidRDefault="00E42E0B" w:rsidP="00E42E0B">
      <w:pPr>
        <w:pBdr>
          <w:top w:val="single" w:sz="4" w:space="1" w:color="auto"/>
          <w:left w:val="single" w:sz="4" w:space="4" w:color="auto"/>
          <w:bottom w:val="single" w:sz="4" w:space="1" w:color="auto"/>
          <w:right w:val="single" w:sz="4" w:space="4" w:color="auto"/>
        </w:pBdr>
        <w:spacing w:after="0"/>
        <w:rPr>
          <w:sz w:val="22"/>
          <w:szCs w:val="22"/>
          <w:lang w:val="fr-BE"/>
        </w:rPr>
      </w:pPr>
      <w:r w:rsidRPr="008914AD">
        <w:rPr>
          <w:sz w:val="22"/>
          <w:szCs w:val="22"/>
          <w:lang w:val="fr-BE"/>
        </w:rPr>
        <w:t xml:space="preserve">Statistiques de paiements Justice, partie “frais de justice” </w:t>
      </w:r>
    </w:p>
    <w:p w14:paraId="634373B8" w14:textId="77777777" w:rsidR="00E42E0B" w:rsidRPr="008914AD" w:rsidRDefault="00E42E0B" w:rsidP="00E42E0B">
      <w:pPr>
        <w:spacing w:after="0"/>
        <w:rPr>
          <w:rFonts w:cstheme="minorHAnsi"/>
          <w:u w:val="single"/>
          <w:lang w:val="fr-BE"/>
        </w:rPr>
      </w:pPr>
    </w:p>
    <w:p w14:paraId="2DBB5806" w14:textId="77777777" w:rsidR="00E42E0B" w:rsidRPr="00F824DE" w:rsidRDefault="00E42E0B" w:rsidP="00E42E0B">
      <w:pPr>
        <w:spacing w:after="0"/>
        <w:rPr>
          <w:rFonts w:cstheme="minorHAnsi"/>
          <w:lang w:val="fr-BE"/>
        </w:rPr>
      </w:pPr>
      <w:r w:rsidRPr="00F824DE">
        <w:rPr>
          <w:rFonts w:cstheme="minorHAnsi"/>
          <w:lang w:val="fr-BE"/>
        </w:rPr>
        <w:t>Au premier semestre 2022, les volumes de paiement suivants ont été inclus dans les frais de justice :</w:t>
      </w:r>
    </w:p>
    <w:p w14:paraId="072CB387" w14:textId="77777777" w:rsidR="00E42E0B" w:rsidRPr="00A83A90" w:rsidRDefault="00E42E0B" w:rsidP="006D3557">
      <w:pPr>
        <w:pStyle w:val="Lijstalinea"/>
        <w:suppressAutoHyphens w:val="0"/>
        <w:spacing w:after="0" w:line="274" w:lineRule="auto"/>
        <w:ind w:left="720" w:hanging="360"/>
        <w:rPr>
          <w:rFonts w:cstheme="minorHAnsi"/>
          <w:lang w:val="fr-FR"/>
        </w:rPr>
      </w:pPr>
      <w:r w:rsidRPr="00A83A90">
        <w:rPr>
          <w:rFonts w:cstheme="minorHAnsi"/>
          <w:lang w:val="fr-FR"/>
        </w:rPr>
        <w:t xml:space="preserve">• Nombre de pièces payées : </w:t>
      </w:r>
      <w:r w:rsidRPr="00A83A90">
        <w:rPr>
          <w:rFonts w:cstheme="minorHAnsi"/>
          <w:b/>
          <w:bCs/>
          <w:lang w:val="fr-FR"/>
        </w:rPr>
        <w:t>116 939</w:t>
      </w:r>
    </w:p>
    <w:p w14:paraId="58EFF13F" w14:textId="6C71DF6B" w:rsidR="00E42E0B" w:rsidRPr="00A83A90" w:rsidRDefault="00E42E0B" w:rsidP="006D3557">
      <w:pPr>
        <w:pStyle w:val="Lijstalinea"/>
        <w:suppressAutoHyphens w:val="0"/>
        <w:spacing w:after="0" w:line="274" w:lineRule="auto"/>
        <w:ind w:left="720" w:hanging="360"/>
        <w:rPr>
          <w:rFonts w:cstheme="minorHAnsi"/>
          <w:lang w:val="fr-FR"/>
        </w:rPr>
      </w:pPr>
      <w:r w:rsidRPr="00A83A90">
        <w:rPr>
          <w:rFonts w:cstheme="minorHAnsi"/>
          <w:lang w:val="fr-FR"/>
        </w:rPr>
        <w:t>• Délai moyen entre la date de réception de la réclamation</w:t>
      </w:r>
      <w:r w:rsidR="006D3557" w:rsidRPr="00A83A90">
        <w:rPr>
          <w:rFonts w:cstheme="minorHAnsi"/>
          <w:lang w:val="fr-FR"/>
        </w:rPr>
        <w:t xml:space="preserve"> au bureau de taxation</w:t>
      </w:r>
      <w:r w:rsidRPr="00A83A90">
        <w:rPr>
          <w:rFonts w:cstheme="minorHAnsi"/>
          <w:lang w:val="fr-FR"/>
        </w:rPr>
        <w:t xml:space="preserve"> et le paiement : </w:t>
      </w:r>
      <w:r w:rsidRPr="00A83A90">
        <w:rPr>
          <w:rFonts w:cstheme="minorHAnsi"/>
          <w:b/>
          <w:bCs/>
          <w:lang w:val="fr-FR"/>
        </w:rPr>
        <w:t>43 jours</w:t>
      </w:r>
    </w:p>
    <w:p w14:paraId="0806E85D" w14:textId="77777777" w:rsidR="00E42E0B" w:rsidRPr="00F824DE" w:rsidRDefault="00E42E0B" w:rsidP="00E42E0B">
      <w:pPr>
        <w:spacing w:after="0"/>
        <w:rPr>
          <w:rFonts w:ascii="Calibri" w:hAnsi="Calibri"/>
          <w:lang w:val="fr-BE"/>
        </w:rPr>
      </w:pPr>
    </w:p>
    <w:tbl>
      <w:tblPr>
        <w:tblW w:w="9940" w:type="dxa"/>
        <w:tblInd w:w="-70" w:type="dxa"/>
        <w:tblCellMar>
          <w:left w:w="0" w:type="dxa"/>
          <w:right w:w="0" w:type="dxa"/>
        </w:tblCellMar>
        <w:tblLook w:val="04A0" w:firstRow="1" w:lastRow="0" w:firstColumn="1" w:lastColumn="0" w:noHBand="0" w:noVBand="1"/>
      </w:tblPr>
      <w:tblGrid>
        <w:gridCol w:w="1760"/>
        <w:gridCol w:w="1880"/>
        <w:gridCol w:w="1660"/>
        <w:gridCol w:w="1480"/>
        <w:gridCol w:w="1660"/>
        <w:gridCol w:w="1500"/>
      </w:tblGrid>
      <w:tr w:rsidR="00E42E0B" w:rsidRPr="00C74F8D" w14:paraId="674E13A3" w14:textId="77777777" w:rsidTr="00E42E0B">
        <w:trPr>
          <w:trHeight w:val="288"/>
        </w:trPr>
        <w:tc>
          <w:tcPr>
            <w:tcW w:w="9940" w:type="dxa"/>
            <w:gridSpan w:val="6"/>
            <w:tcBorders>
              <w:top w:val="nil"/>
              <w:left w:val="nil"/>
              <w:bottom w:val="single" w:sz="8" w:space="0" w:color="auto"/>
              <w:right w:val="nil"/>
            </w:tcBorders>
            <w:noWrap/>
            <w:tcMar>
              <w:top w:w="0" w:type="dxa"/>
              <w:left w:w="70" w:type="dxa"/>
              <w:bottom w:w="0" w:type="dxa"/>
              <w:right w:w="70" w:type="dxa"/>
            </w:tcMar>
            <w:hideMark/>
          </w:tcPr>
          <w:p w14:paraId="0C0CEF89" w14:textId="77777777" w:rsidR="00E42E0B" w:rsidRPr="00E711F4" w:rsidRDefault="00E42E0B" w:rsidP="00E42E0B">
            <w:pPr>
              <w:spacing w:after="0"/>
              <w:rPr>
                <w:b/>
                <w:bCs/>
                <w:color w:val="000000"/>
                <w:lang w:val="fr-FR" w:eastAsia="fr-BE"/>
              </w:rPr>
            </w:pPr>
            <w:r w:rsidRPr="00E711F4">
              <w:rPr>
                <w:b/>
                <w:bCs/>
                <w:color w:val="000000"/>
                <w:lang w:val="fr-FR" w:eastAsia="fr-BE"/>
              </w:rPr>
              <w:t>Délai de paiement - Frais de Justice - 1er SEMESTRE 2022 : Paiements entre le 01/01/2022 et le 30/06/2022</w:t>
            </w:r>
          </w:p>
        </w:tc>
      </w:tr>
      <w:tr w:rsidR="00E42E0B" w14:paraId="2AEBD5EE" w14:textId="77777777" w:rsidTr="00E42E0B">
        <w:trPr>
          <w:trHeight w:val="624"/>
        </w:trPr>
        <w:tc>
          <w:tcPr>
            <w:tcW w:w="1760" w:type="dxa"/>
            <w:tcBorders>
              <w:top w:val="single" w:sz="8" w:space="0" w:color="000000"/>
              <w:left w:val="nil"/>
              <w:bottom w:val="single" w:sz="8" w:space="0" w:color="000000"/>
              <w:right w:val="nil"/>
            </w:tcBorders>
            <w:tcMar>
              <w:top w:w="0" w:type="dxa"/>
              <w:left w:w="70" w:type="dxa"/>
              <w:bottom w:w="0" w:type="dxa"/>
              <w:right w:w="70" w:type="dxa"/>
            </w:tcMar>
            <w:vAlign w:val="center"/>
            <w:hideMark/>
          </w:tcPr>
          <w:p w14:paraId="39544F3F" w14:textId="77777777" w:rsidR="00E42E0B" w:rsidRDefault="00E42E0B" w:rsidP="00E42E0B">
            <w:pPr>
              <w:spacing w:after="0"/>
              <w:jc w:val="center"/>
              <w:rPr>
                <w:rFonts w:ascii="Calibri" w:hAnsi="Calibri" w:cs="Calibri"/>
                <w:b/>
                <w:bCs/>
                <w:color w:val="000000"/>
                <w:sz w:val="22"/>
                <w:szCs w:val="22"/>
                <w:lang w:eastAsia="fr-BE"/>
              </w:rPr>
            </w:pPr>
            <w:r>
              <w:rPr>
                <w:b/>
                <w:bCs/>
                <w:color w:val="000000"/>
                <w:lang w:eastAsia="fr-BE"/>
              </w:rPr>
              <w:t>Nombre de documents</w:t>
            </w:r>
          </w:p>
        </w:tc>
        <w:tc>
          <w:tcPr>
            <w:tcW w:w="1880" w:type="dxa"/>
            <w:tcBorders>
              <w:top w:val="single" w:sz="8" w:space="0" w:color="000000"/>
              <w:left w:val="nil"/>
              <w:bottom w:val="single" w:sz="8" w:space="0" w:color="000000"/>
              <w:right w:val="nil"/>
            </w:tcBorders>
            <w:tcMar>
              <w:top w:w="0" w:type="dxa"/>
              <w:left w:w="70" w:type="dxa"/>
              <w:bottom w:w="0" w:type="dxa"/>
              <w:right w:w="70" w:type="dxa"/>
            </w:tcMar>
            <w:vAlign w:val="center"/>
            <w:hideMark/>
          </w:tcPr>
          <w:p w14:paraId="72710777" w14:textId="77777777" w:rsidR="00E42E0B" w:rsidRDefault="00E42E0B" w:rsidP="00E42E0B">
            <w:pPr>
              <w:spacing w:after="0"/>
              <w:jc w:val="center"/>
              <w:rPr>
                <w:b/>
                <w:bCs/>
                <w:color w:val="000000"/>
                <w:lang w:eastAsia="fr-BE"/>
              </w:rPr>
            </w:pPr>
            <w:r>
              <w:rPr>
                <w:b/>
                <w:bCs/>
                <w:color w:val="000000"/>
                <w:lang w:eastAsia="fr-BE"/>
              </w:rPr>
              <w:t>Jusqu’à 30 jours</w:t>
            </w:r>
          </w:p>
        </w:tc>
        <w:tc>
          <w:tcPr>
            <w:tcW w:w="1660" w:type="dxa"/>
            <w:tcBorders>
              <w:top w:val="single" w:sz="8" w:space="0" w:color="000000"/>
              <w:left w:val="nil"/>
              <w:bottom w:val="single" w:sz="8" w:space="0" w:color="000000"/>
              <w:right w:val="nil"/>
            </w:tcBorders>
            <w:tcMar>
              <w:top w:w="0" w:type="dxa"/>
              <w:left w:w="70" w:type="dxa"/>
              <w:bottom w:w="0" w:type="dxa"/>
              <w:right w:w="70" w:type="dxa"/>
            </w:tcMar>
            <w:vAlign w:val="center"/>
            <w:hideMark/>
          </w:tcPr>
          <w:p w14:paraId="7538496D" w14:textId="77777777" w:rsidR="00E42E0B" w:rsidRDefault="00E42E0B" w:rsidP="00E42E0B">
            <w:pPr>
              <w:spacing w:after="0"/>
              <w:jc w:val="center"/>
              <w:rPr>
                <w:b/>
                <w:bCs/>
                <w:color w:val="000000"/>
                <w:lang w:eastAsia="fr-BE"/>
              </w:rPr>
            </w:pPr>
            <w:r>
              <w:rPr>
                <w:b/>
                <w:bCs/>
                <w:color w:val="000000"/>
                <w:lang w:eastAsia="fr-BE"/>
              </w:rPr>
              <w:t>Entre 31 et 60 jours</w:t>
            </w:r>
          </w:p>
        </w:tc>
        <w:tc>
          <w:tcPr>
            <w:tcW w:w="1480" w:type="dxa"/>
            <w:tcBorders>
              <w:top w:val="single" w:sz="8" w:space="0" w:color="000000"/>
              <w:left w:val="nil"/>
              <w:bottom w:val="single" w:sz="8" w:space="0" w:color="000000"/>
              <w:right w:val="nil"/>
            </w:tcBorders>
            <w:tcMar>
              <w:top w:w="0" w:type="dxa"/>
              <w:left w:w="70" w:type="dxa"/>
              <w:bottom w:w="0" w:type="dxa"/>
              <w:right w:w="70" w:type="dxa"/>
            </w:tcMar>
            <w:vAlign w:val="center"/>
            <w:hideMark/>
          </w:tcPr>
          <w:p w14:paraId="0B65DBB4" w14:textId="77777777" w:rsidR="00E42E0B" w:rsidRDefault="00E42E0B" w:rsidP="00E42E0B">
            <w:pPr>
              <w:spacing w:after="0"/>
              <w:jc w:val="center"/>
              <w:rPr>
                <w:b/>
                <w:bCs/>
                <w:color w:val="000000"/>
                <w:lang w:eastAsia="fr-BE"/>
              </w:rPr>
            </w:pPr>
            <w:r>
              <w:rPr>
                <w:b/>
                <w:bCs/>
                <w:color w:val="000000"/>
                <w:lang w:eastAsia="fr-BE"/>
              </w:rPr>
              <w:t>Entre 61 et 90 jours</w:t>
            </w:r>
          </w:p>
        </w:tc>
        <w:tc>
          <w:tcPr>
            <w:tcW w:w="1660" w:type="dxa"/>
            <w:tcBorders>
              <w:top w:val="single" w:sz="8" w:space="0" w:color="000000"/>
              <w:left w:val="nil"/>
              <w:bottom w:val="single" w:sz="8" w:space="0" w:color="000000"/>
              <w:right w:val="nil"/>
            </w:tcBorders>
            <w:tcMar>
              <w:top w:w="0" w:type="dxa"/>
              <w:left w:w="70" w:type="dxa"/>
              <w:bottom w:w="0" w:type="dxa"/>
              <w:right w:w="70" w:type="dxa"/>
            </w:tcMar>
            <w:vAlign w:val="center"/>
            <w:hideMark/>
          </w:tcPr>
          <w:p w14:paraId="5DAA3AAB" w14:textId="77777777" w:rsidR="00E42E0B" w:rsidRDefault="00E42E0B" w:rsidP="00E42E0B">
            <w:pPr>
              <w:spacing w:after="0"/>
              <w:jc w:val="center"/>
              <w:rPr>
                <w:b/>
                <w:bCs/>
                <w:color w:val="000000"/>
                <w:lang w:eastAsia="fr-BE"/>
              </w:rPr>
            </w:pPr>
            <w:r>
              <w:rPr>
                <w:b/>
                <w:bCs/>
                <w:color w:val="000000"/>
                <w:lang w:eastAsia="fr-BE"/>
              </w:rPr>
              <w:t>Plus de 90 jours</w:t>
            </w:r>
          </w:p>
        </w:tc>
        <w:tc>
          <w:tcPr>
            <w:tcW w:w="1500" w:type="dxa"/>
            <w:tcBorders>
              <w:top w:val="single" w:sz="8" w:space="0" w:color="000000"/>
              <w:left w:val="nil"/>
              <w:bottom w:val="single" w:sz="8" w:space="0" w:color="000000"/>
              <w:right w:val="nil"/>
            </w:tcBorders>
            <w:tcMar>
              <w:top w:w="0" w:type="dxa"/>
              <w:left w:w="70" w:type="dxa"/>
              <w:bottom w:w="0" w:type="dxa"/>
              <w:right w:w="70" w:type="dxa"/>
            </w:tcMar>
            <w:vAlign w:val="center"/>
            <w:hideMark/>
          </w:tcPr>
          <w:p w14:paraId="66998763" w14:textId="77777777" w:rsidR="00E42E0B" w:rsidRDefault="00E42E0B" w:rsidP="00E42E0B">
            <w:pPr>
              <w:spacing w:after="0"/>
              <w:jc w:val="center"/>
              <w:rPr>
                <w:b/>
                <w:bCs/>
                <w:color w:val="000000"/>
                <w:lang w:eastAsia="fr-BE"/>
              </w:rPr>
            </w:pPr>
            <w:r>
              <w:rPr>
                <w:b/>
                <w:bCs/>
                <w:color w:val="000000"/>
                <w:lang w:eastAsia="fr-BE"/>
              </w:rPr>
              <w:t>Moyenne</w:t>
            </w:r>
          </w:p>
        </w:tc>
      </w:tr>
      <w:tr w:rsidR="00E42E0B" w14:paraId="27169878" w14:textId="77777777" w:rsidTr="00E42E0B">
        <w:trPr>
          <w:trHeight w:val="288"/>
        </w:trPr>
        <w:tc>
          <w:tcPr>
            <w:tcW w:w="1760" w:type="dxa"/>
            <w:tcBorders>
              <w:top w:val="nil"/>
              <w:left w:val="nil"/>
              <w:bottom w:val="single" w:sz="8" w:space="0" w:color="000000"/>
              <w:right w:val="nil"/>
            </w:tcBorders>
            <w:shd w:val="clear" w:color="auto" w:fill="FFFFFF"/>
            <w:noWrap/>
            <w:tcMar>
              <w:top w:w="0" w:type="dxa"/>
              <w:left w:w="70" w:type="dxa"/>
              <w:bottom w:w="0" w:type="dxa"/>
              <w:right w:w="70" w:type="dxa"/>
            </w:tcMar>
            <w:vAlign w:val="bottom"/>
            <w:hideMark/>
          </w:tcPr>
          <w:p w14:paraId="347AD3B1" w14:textId="77777777" w:rsidR="00E42E0B" w:rsidRDefault="00E42E0B" w:rsidP="00E42E0B">
            <w:pPr>
              <w:spacing w:after="0"/>
              <w:jc w:val="right"/>
              <w:rPr>
                <w:color w:val="000000"/>
                <w:lang w:eastAsia="fr-BE"/>
              </w:rPr>
            </w:pPr>
            <w:r>
              <w:rPr>
                <w:color w:val="000000"/>
                <w:lang w:eastAsia="fr-BE"/>
              </w:rPr>
              <w:t>116.939</w:t>
            </w:r>
          </w:p>
        </w:tc>
        <w:tc>
          <w:tcPr>
            <w:tcW w:w="1880" w:type="dxa"/>
            <w:tcBorders>
              <w:top w:val="nil"/>
              <w:left w:val="nil"/>
              <w:bottom w:val="single" w:sz="8" w:space="0" w:color="000000"/>
              <w:right w:val="nil"/>
            </w:tcBorders>
            <w:shd w:val="clear" w:color="auto" w:fill="FFFFFF"/>
            <w:noWrap/>
            <w:tcMar>
              <w:top w:w="0" w:type="dxa"/>
              <w:left w:w="70" w:type="dxa"/>
              <w:bottom w:w="0" w:type="dxa"/>
              <w:right w:w="70" w:type="dxa"/>
            </w:tcMar>
            <w:vAlign w:val="bottom"/>
            <w:hideMark/>
          </w:tcPr>
          <w:p w14:paraId="67180B09" w14:textId="77777777" w:rsidR="00E42E0B" w:rsidRDefault="00E42E0B" w:rsidP="00E42E0B">
            <w:pPr>
              <w:spacing w:after="0"/>
              <w:jc w:val="right"/>
              <w:rPr>
                <w:color w:val="000000"/>
                <w:lang w:eastAsia="fr-BE"/>
              </w:rPr>
            </w:pPr>
            <w:r>
              <w:rPr>
                <w:color w:val="000000"/>
                <w:lang w:eastAsia="fr-BE"/>
              </w:rPr>
              <w:t>78.311</w:t>
            </w:r>
          </w:p>
        </w:tc>
        <w:tc>
          <w:tcPr>
            <w:tcW w:w="1660" w:type="dxa"/>
            <w:tcBorders>
              <w:top w:val="nil"/>
              <w:left w:val="nil"/>
              <w:bottom w:val="single" w:sz="8" w:space="0" w:color="000000"/>
              <w:right w:val="nil"/>
            </w:tcBorders>
            <w:shd w:val="clear" w:color="auto" w:fill="FFFFFF"/>
            <w:noWrap/>
            <w:tcMar>
              <w:top w:w="0" w:type="dxa"/>
              <w:left w:w="70" w:type="dxa"/>
              <w:bottom w:w="0" w:type="dxa"/>
              <w:right w:w="70" w:type="dxa"/>
            </w:tcMar>
            <w:vAlign w:val="bottom"/>
            <w:hideMark/>
          </w:tcPr>
          <w:p w14:paraId="206C3B07" w14:textId="77777777" w:rsidR="00E42E0B" w:rsidRDefault="00E42E0B" w:rsidP="00E42E0B">
            <w:pPr>
              <w:spacing w:after="0"/>
              <w:jc w:val="right"/>
              <w:rPr>
                <w:color w:val="000000"/>
                <w:lang w:eastAsia="fr-BE"/>
              </w:rPr>
            </w:pPr>
            <w:r>
              <w:rPr>
                <w:color w:val="000000"/>
                <w:lang w:eastAsia="fr-BE"/>
              </w:rPr>
              <w:t>23.514</w:t>
            </w:r>
          </w:p>
        </w:tc>
        <w:tc>
          <w:tcPr>
            <w:tcW w:w="1480" w:type="dxa"/>
            <w:tcBorders>
              <w:top w:val="nil"/>
              <w:left w:val="nil"/>
              <w:bottom w:val="single" w:sz="8" w:space="0" w:color="000000"/>
              <w:right w:val="nil"/>
            </w:tcBorders>
            <w:shd w:val="clear" w:color="auto" w:fill="FFFFFF"/>
            <w:noWrap/>
            <w:tcMar>
              <w:top w:w="0" w:type="dxa"/>
              <w:left w:w="70" w:type="dxa"/>
              <w:bottom w:w="0" w:type="dxa"/>
              <w:right w:w="70" w:type="dxa"/>
            </w:tcMar>
            <w:vAlign w:val="bottom"/>
            <w:hideMark/>
          </w:tcPr>
          <w:p w14:paraId="73213E73" w14:textId="77777777" w:rsidR="00E42E0B" w:rsidRDefault="00E42E0B" w:rsidP="00E42E0B">
            <w:pPr>
              <w:spacing w:after="0"/>
              <w:jc w:val="right"/>
              <w:rPr>
                <w:color w:val="000000"/>
                <w:lang w:eastAsia="fr-BE"/>
              </w:rPr>
            </w:pPr>
            <w:r>
              <w:rPr>
                <w:color w:val="000000"/>
                <w:lang w:eastAsia="fr-BE"/>
              </w:rPr>
              <w:t>4.958</w:t>
            </w:r>
          </w:p>
        </w:tc>
        <w:tc>
          <w:tcPr>
            <w:tcW w:w="1660" w:type="dxa"/>
            <w:tcBorders>
              <w:top w:val="nil"/>
              <w:left w:val="nil"/>
              <w:bottom w:val="single" w:sz="8" w:space="0" w:color="000000"/>
              <w:right w:val="nil"/>
            </w:tcBorders>
            <w:shd w:val="clear" w:color="auto" w:fill="FFFFFF"/>
            <w:noWrap/>
            <w:tcMar>
              <w:top w:w="0" w:type="dxa"/>
              <w:left w:w="70" w:type="dxa"/>
              <w:bottom w:w="0" w:type="dxa"/>
              <w:right w:w="70" w:type="dxa"/>
            </w:tcMar>
            <w:vAlign w:val="bottom"/>
            <w:hideMark/>
          </w:tcPr>
          <w:p w14:paraId="5D65C9D8" w14:textId="77777777" w:rsidR="00E42E0B" w:rsidRDefault="00E42E0B" w:rsidP="00E42E0B">
            <w:pPr>
              <w:spacing w:after="0"/>
              <w:jc w:val="right"/>
              <w:rPr>
                <w:color w:val="000000"/>
                <w:lang w:eastAsia="fr-BE"/>
              </w:rPr>
            </w:pPr>
            <w:r>
              <w:rPr>
                <w:color w:val="000000"/>
                <w:lang w:eastAsia="fr-BE"/>
              </w:rPr>
              <w:t>10.156</w:t>
            </w:r>
          </w:p>
        </w:tc>
        <w:tc>
          <w:tcPr>
            <w:tcW w:w="1500" w:type="dxa"/>
            <w:tcBorders>
              <w:top w:val="nil"/>
              <w:left w:val="nil"/>
              <w:bottom w:val="single" w:sz="8" w:space="0" w:color="000000"/>
              <w:right w:val="nil"/>
            </w:tcBorders>
            <w:shd w:val="clear" w:color="auto" w:fill="FFFFFF"/>
            <w:noWrap/>
            <w:tcMar>
              <w:top w:w="0" w:type="dxa"/>
              <w:left w:w="70" w:type="dxa"/>
              <w:bottom w:w="0" w:type="dxa"/>
              <w:right w:w="70" w:type="dxa"/>
            </w:tcMar>
            <w:vAlign w:val="center"/>
            <w:hideMark/>
          </w:tcPr>
          <w:p w14:paraId="24FD5E47" w14:textId="7EB11241" w:rsidR="00E42E0B" w:rsidRDefault="00E42E0B" w:rsidP="00E42E0B">
            <w:pPr>
              <w:spacing w:after="0"/>
              <w:jc w:val="center"/>
              <w:rPr>
                <w:b/>
                <w:bCs/>
                <w:color w:val="000000"/>
                <w:lang w:eastAsia="fr-BE"/>
              </w:rPr>
            </w:pPr>
            <w:r>
              <w:rPr>
                <w:b/>
                <w:bCs/>
                <w:color w:val="000000"/>
                <w:lang w:eastAsia="fr-BE"/>
              </w:rPr>
              <w:t>43 j</w:t>
            </w:r>
            <w:r w:rsidR="00903EB2">
              <w:rPr>
                <w:b/>
                <w:bCs/>
                <w:color w:val="000000"/>
                <w:lang w:eastAsia="fr-BE"/>
              </w:rPr>
              <w:t>ours</w:t>
            </w:r>
          </w:p>
        </w:tc>
      </w:tr>
      <w:tr w:rsidR="00E42E0B" w14:paraId="1E2AF228" w14:textId="77777777" w:rsidTr="00E42E0B">
        <w:trPr>
          <w:trHeight w:val="288"/>
        </w:trPr>
        <w:tc>
          <w:tcPr>
            <w:tcW w:w="1760" w:type="dxa"/>
            <w:noWrap/>
            <w:tcMar>
              <w:top w:w="0" w:type="dxa"/>
              <w:left w:w="70" w:type="dxa"/>
              <w:bottom w:w="0" w:type="dxa"/>
              <w:right w:w="70" w:type="dxa"/>
            </w:tcMar>
            <w:vAlign w:val="bottom"/>
            <w:hideMark/>
          </w:tcPr>
          <w:p w14:paraId="28E402CB" w14:textId="77777777" w:rsidR="00E42E0B" w:rsidRDefault="00E42E0B" w:rsidP="00E42E0B">
            <w:pPr>
              <w:spacing w:after="0"/>
              <w:rPr>
                <w:b/>
                <w:bCs/>
                <w:color w:val="000000"/>
                <w:lang w:eastAsia="fr-BE"/>
              </w:rPr>
            </w:pPr>
          </w:p>
        </w:tc>
        <w:tc>
          <w:tcPr>
            <w:tcW w:w="1880" w:type="dxa"/>
            <w:noWrap/>
            <w:tcMar>
              <w:top w:w="0" w:type="dxa"/>
              <w:left w:w="70" w:type="dxa"/>
              <w:bottom w:w="0" w:type="dxa"/>
              <w:right w:w="70" w:type="dxa"/>
            </w:tcMar>
            <w:vAlign w:val="bottom"/>
            <w:hideMark/>
          </w:tcPr>
          <w:p w14:paraId="4E4BFF5C" w14:textId="77777777" w:rsidR="00E42E0B" w:rsidRDefault="00E42E0B" w:rsidP="00E42E0B">
            <w:pPr>
              <w:spacing w:after="0"/>
              <w:rPr>
                <w:rFonts w:ascii="Times New Roman" w:hAnsi="Times New Roman"/>
                <w:lang w:eastAsia="en-GB"/>
              </w:rPr>
            </w:pPr>
          </w:p>
        </w:tc>
        <w:tc>
          <w:tcPr>
            <w:tcW w:w="1660" w:type="dxa"/>
            <w:noWrap/>
            <w:tcMar>
              <w:top w:w="0" w:type="dxa"/>
              <w:left w:w="70" w:type="dxa"/>
              <w:bottom w:w="0" w:type="dxa"/>
              <w:right w:w="70" w:type="dxa"/>
            </w:tcMar>
            <w:vAlign w:val="bottom"/>
            <w:hideMark/>
          </w:tcPr>
          <w:p w14:paraId="54904F8D" w14:textId="77777777" w:rsidR="00E42E0B" w:rsidRDefault="00E42E0B" w:rsidP="00E42E0B">
            <w:pPr>
              <w:spacing w:after="0"/>
              <w:rPr>
                <w:rFonts w:ascii="Times New Roman" w:hAnsi="Times New Roman"/>
                <w:lang w:eastAsia="en-GB"/>
              </w:rPr>
            </w:pPr>
          </w:p>
        </w:tc>
        <w:tc>
          <w:tcPr>
            <w:tcW w:w="1480" w:type="dxa"/>
            <w:noWrap/>
            <w:tcMar>
              <w:top w:w="0" w:type="dxa"/>
              <w:left w:w="70" w:type="dxa"/>
              <w:bottom w:w="0" w:type="dxa"/>
              <w:right w:w="70" w:type="dxa"/>
            </w:tcMar>
            <w:vAlign w:val="bottom"/>
            <w:hideMark/>
          </w:tcPr>
          <w:p w14:paraId="3F48B9FA" w14:textId="77777777" w:rsidR="00E42E0B" w:rsidRDefault="00E42E0B" w:rsidP="00E42E0B">
            <w:pPr>
              <w:spacing w:after="0"/>
              <w:rPr>
                <w:rFonts w:ascii="Times New Roman" w:hAnsi="Times New Roman"/>
                <w:lang w:eastAsia="en-GB"/>
              </w:rPr>
            </w:pPr>
          </w:p>
        </w:tc>
        <w:tc>
          <w:tcPr>
            <w:tcW w:w="1660" w:type="dxa"/>
            <w:noWrap/>
            <w:tcMar>
              <w:top w:w="0" w:type="dxa"/>
              <w:left w:w="70" w:type="dxa"/>
              <w:bottom w:w="0" w:type="dxa"/>
              <w:right w:w="70" w:type="dxa"/>
            </w:tcMar>
            <w:vAlign w:val="bottom"/>
            <w:hideMark/>
          </w:tcPr>
          <w:p w14:paraId="641378EB" w14:textId="77777777" w:rsidR="00E42E0B" w:rsidRDefault="00E42E0B" w:rsidP="00E42E0B">
            <w:pPr>
              <w:spacing w:after="0"/>
              <w:rPr>
                <w:rFonts w:ascii="Times New Roman" w:hAnsi="Times New Roman"/>
                <w:lang w:eastAsia="en-GB"/>
              </w:rPr>
            </w:pPr>
          </w:p>
        </w:tc>
        <w:tc>
          <w:tcPr>
            <w:tcW w:w="1500" w:type="dxa"/>
            <w:noWrap/>
            <w:tcMar>
              <w:top w:w="0" w:type="dxa"/>
              <w:left w:w="70" w:type="dxa"/>
              <w:bottom w:w="0" w:type="dxa"/>
              <w:right w:w="70" w:type="dxa"/>
            </w:tcMar>
            <w:vAlign w:val="bottom"/>
            <w:hideMark/>
          </w:tcPr>
          <w:p w14:paraId="5A12CC0D" w14:textId="77777777" w:rsidR="00E42E0B" w:rsidRDefault="00E42E0B" w:rsidP="00E42E0B">
            <w:pPr>
              <w:spacing w:after="0"/>
              <w:rPr>
                <w:rFonts w:ascii="Times New Roman" w:hAnsi="Times New Roman"/>
                <w:lang w:eastAsia="en-GB"/>
              </w:rPr>
            </w:pPr>
          </w:p>
        </w:tc>
      </w:tr>
    </w:tbl>
    <w:p w14:paraId="70989D6E" w14:textId="0A771AFA" w:rsidR="00E42E0B" w:rsidRPr="00F7107D" w:rsidRDefault="00E42E0B" w:rsidP="00E42E0B">
      <w:pPr>
        <w:spacing w:after="0"/>
        <w:rPr>
          <w:rFonts w:cstheme="minorHAnsi"/>
          <w:lang w:val="fr-BE"/>
        </w:rPr>
      </w:pPr>
      <w:r w:rsidRPr="00600A2E">
        <w:rPr>
          <w:rFonts w:cstheme="minorHAnsi"/>
          <w:b/>
          <w:bCs/>
          <w:lang w:val="fr-BE"/>
        </w:rPr>
        <w:t xml:space="preserve">70% </w:t>
      </w:r>
      <w:r w:rsidRPr="00F7107D">
        <w:rPr>
          <w:rFonts w:cstheme="minorHAnsi"/>
          <w:lang w:val="fr-BE"/>
        </w:rPr>
        <w:t>des réclamations ont été payées dans les 30 jours suivant la réception.</w:t>
      </w:r>
    </w:p>
    <w:p w14:paraId="29DC67F1" w14:textId="4A795EB4" w:rsidR="00E42E0B" w:rsidRPr="00F7107D" w:rsidRDefault="00E42E0B" w:rsidP="00E42E0B">
      <w:pPr>
        <w:spacing w:after="0"/>
        <w:rPr>
          <w:rFonts w:cstheme="minorHAnsi"/>
          <w:lang w:val="fr-BE"/>
        </w:rPr>
      </w:pPr>
      <w:r w:rsidRPr="00F7107D">
        <w:rPr>
          <w:rFonts w:cstheme="minorHAnsi"/>
          <w:lang w:val="fr-BE"/>
        </w:rPr>
        <w:t xml:space="preserve">Il est à noter que le règlement des réclamations est organisé par arrondissement judiciaire et qu'il existe des différences régionales de performance. </w:t>
      </w:r>
      <w:r w:rsidR="00A83A90">
        <w:rPr>
          <w:rFonts w:cstheme="minorHAnsi"/>
          <w:lang w:val="fr-BE"/>
        </w:rPr>
        <w:t>Neuf</w:t>
      </w:r>
      <w:r w:rsidR="00903EB2">
        <w:rPr>
          <w:rFonts w:cstheme="minorHAnsi"/>
          <w:lang w:val="fr-BE"/>
        </w:rPr>
        <w:t xml:space="preserve"> </w:t>
      </w:r>
      <w:r w:rsidRPr="00F7107D">
        <w:rPr>
          <w:rFonts w:cstheme="minorHAnsi"/>
          <w:lang w:val="fr-BE"/>
        </w:rPr>
        <w:t>arrondissements performent mieux que la moyenne de 43 jours ci-dessus.</w:t>
      </w:r>
    </w:p>
    <w:p w14:paraId="5070FC03" w14:textId="1980DD94" w:rsidR="00E42E0B" w:rsidRPr="00E42E0B" w:rsidRDefault="00E42E0B" w:rsidP="000D3A58">
      <w:pPr>
        <w:spacing w:after="0"/>
        <w:rPr>
          <w:lang w:val="fr-BE"/>
        </w:rPr>
      </w:pPr>
    </w:p>
    <w:p w14:paraId="7FC12C1C" w14:textId="30C63AF7" w:rsidR="00E42E0B" w:rsidRPr="00E42E0B" w:rsidRDefault="00E42E0B" w:rsidP="000D3A58">
      <w:pPr>
        <w:tabs>
          <w:tab w:val="left" w:pos="4116"/>
        </w:tabs>
        <w:spacing w:after="0"/>
        <w:rPr>
          <w:lang w:val="fr-BE"/>
        </w:rPr>
      </w:pPr>
      <w:r>
        <w:rPr>
          <w:lang w:val="fr-BE"/>
        </w:rPr>
        <w:tab/>
      </w:r>
    </w:p>
    <w:sectPr w:rsidR="00E42E0B" w:rsidRPr="00E42E0B" w:rsidSect="00166B01">
      <w:type w:val="continuous"/>
      <w:pgSz w:w="11906" w:h="16838" w:code="9"/>
      <w:pgMar w:top="851" w:right="851" w:bottom="1418" w:left="1843" w:header="284" w:footer="510" w:gutter="0"/>
      <w:cols w:space="708"/>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E5040" w14:textId="77777777" w:rsidR="001A0344" w:rsidRDefault="001A0344" w:rsidP="007719B8">
      <w:pPr>
        <w:spacing w:after="0" w:line="240" w:lineRule="auto"/>
      </w:pPr>
      <w:r>
        <w:separator/>
      </w:r>
    </w:p>
  </w:endnote>
  <w:endnote w:type="continuationSeparator" w:id="0">
    <w:p w14:paraId="65B76243" w14:textId="77777777" w:rsidR="001A0344" w:rsidRDefault="001A0344" w:rsidP="00771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Times New Roman (Headings CS)">
    <w:altName w:val="Times New Roman"/>
    <w:panose1 w:val="00000000000000000000"/>
    <w:charset w:val="00"/>
    <w:family w:val="roman"/>
    <w:notTrueType/>
    <w:pitch w:val="default"/>
  </w:font>
  <w:font w:name="Montserrat SemiBold">
    <w:altName w:val="Courier New"/>
    <w:panose1 w:val="00000700000000000000"/>
    <w:charset w:val="4D"/>
    <w:family w:val="auto"/>
    <w:pitch w:val="variable"/>
    <w:sig w:usb0="2000020F" w:usb1="00000003" w:usb2="00000000" w:usb3="00000000" w:csb0="00000197" w:csb1="00000000"/>
  </w:font>
  <w:font w:name="Times New Roman (Body CS)">
    <w:altName w:val="Times New Roman"/>
    <w:charset w:val="00"/>
    <w:family w:val="roman"/>
    <w:pitch w:val="default"/>
  </w:font>
  <w:font w:name="Open Sans Light">
    <w:altName w:val="Corbel Light"/>
    <w:panose1 w:val="020B0306030504020204"/>
    <w:charset w:val="00"/>
    <w:family w:val="swiss"/>
    <w:pitch w:val="variable"/>
    <w:sig w:usb0="E00002EF" w:usb1="4000205B" w:usb2="00000028" w:usb3="00000000" w:csb0="0000019F" w:csb1="00000000"/>
  </w:font>
  <w:font w:name="Open Sans (Body)">
    <w:altName w:val="Open Sans"/>
    <w:charset w:val="00"/>
    <w:family w:val="roman"/>
    <w:pitch w:val="default"/>
  </w:font>
  <w:font w:name="Pecita">
    <w:altName w:val="Arial Unicode MS"/>
    <w:panose1 w:val="03050502000000000000"/>
    <w:charset w:val="80"/>
    <w:family w:val="script"/>
    <w:notTrueType/>
    <w:pitch w:val="variable"/>
    <w:sig w:usb0="E540A6FF" w:usb1="5807FBFF" w:usb2="00128034" w:usb3="00000000" w:csb0="8002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F220C" w14:textId="09184621" w:rsidR="001A0344" w:rsidRPr="009B00C2" w:rsidRDefault="001A0344" w:rsidP="008A014D">
    <w:pPr>
      <w:pStyle w:val="Voettekst"/>
      <w:rPr>
        <w:lang w:val="fr-FR"/>
      </w:rPr>
    </w:pPr>
    <w:r w:rsidRPr="009B00C2">
      <w:rPr>
        <w:noProof/>
        <w:lang w:val="fr-FR" w:eastAsia="en-GB"/>
      </w:rPr>
      <w:drawing>
        <wp:anchor distT="0" distB="0" distL="0" distR="144145" simplePos="0" relativeHeight="251661312" behindDoc="0" locked="1" layoutInCell="1" allowOverlap="1" wp14:anchorId="2C1C2D52" wp14:editId="50035B82">
          <wp:simplePos x="0" y="0"/>
          <wp:positionH relativeFrom="column">
            <wp:align>left</wp:align>
          </wp:positionH>
          <wp:positionV relativeFrom="bottomMargin">
            <wp:posOffset>125730</wp:posOffset>
          </wp:positionV>
          <wp:extent cx="248400" cy="248400"/>
          <wp:effectExtent l="0" t="0" r="0" b="0"/>
          <wp:wrapSquare wrapText="right"/>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8400" cy="248400"/>
                  </a:xfrm>
                  <a:prstGeom prst="rect">
                    <a:avLst/>
                  </a:prstGeom>
                </pic:spPr>
              </pic:pic>
            </a:graphicData>
          </a:graphic>
          <wp14:sizeRelH relativeFrom="margin">
            <wp14:pctWidth>0</wp14:pctWidth>
          </wp14:sizeRelH>
          <wp14:sizeRelV relativeFrom="margin">
            <wp14:pctHeight>0</wp14:pctHeight>
          </wp14:sizeRelV>
        </wp:anchor>
      </w:drawing>
    </w:r>
    <w:r w:rsidRPr="009B00C2">
      <w:rPr>
        <w:lang w:val="fr-FR"/>
      </w:rPr>
      <w:t xml:space="preserve">Délais de paiement : </w:t>
    </w:r>
    <w:r w:rsidR="004D1833">
      <w:rPr>
        <w:lang w:val="fr-FR"/>
      </w:rPr>
      <w:t>2022</w:t>
    </w:r>
    <w:r w:rsidRPr="009B00C2">
      <w:rPr>
        <w:lang w:val="fr-FR"/>
      </w:rPr>
      <w:t xml:space="preserve"> | </w:t>
    </w:r>
    <w:r w:rsidRPr="009B00C2">
      <w:rPr>
        <w:rStyle w:val="Zwaar"/>
        <w:lang w:val="fr-FR"/>
      </w:rPr>
      <w:fldChar w:fldCharType="begin"/>
    </w:r>
    <w:r w:rsidRPr="009B00C2">
      <w:rPr>
        <w:rStyle w:val="Zwaar"/>
        <w:lang w:val="fr-FR"/>
      </w:rPr>
      <w:instrText xml:space="preserve"> PAGE \* Arabic \* MERGEFORMAT </w:instrText>
    </w:r>
    <w:r w:rsidRPr="009B00C2">
      <w:rPr>
        <w:rStyle w:val="Zwaar"/>
        <w:lang w:val="fr-FR"/>
      </w:rPr>
      <w:fldChar w:fldCharType="separate"/>
    </w:r>
    <w:r w:rsidRPr="009B00C2">
      <w:rPr>
        <w:rStyle w:val="Zwaar"/>
        <w:lang w:val="fr-FR"/>
      </w:rPr>
      <w:t>6</w:t>
    </w:r>
    <w:r w:rsidRPr="009B00C2">
      <w:rPr>
        <w:rStyle w:val="Zwaar"/>
        <w:lang w:val="fr-FR"/>
      </w:rPr>
      <w:fldChar w:fldCharType="end"/>
    </w:r>
    <w:r w:rsidRPr="009B00C2">
      <w:rPr>
        <w:lang w:val="fr-FR"/>
      </w:rPr>
      <w:t>/</w:t>
    </w:r>
    <w:r w:rsidR="00E42E0B">
      <w:rPr>
        <w:lang w:val="fr-FR"/>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BCFB6" w14:textId="1915CD5D" w:rsidR="001A0344" w:rsidRDefault="00E42E0B" w:rsidP="00E42E0B">
    <w:pPr>
      <w:pStyle w:val="Voettekst"/>
      <w:tabs>
        <w:tab w:val="left" w:pos="5856"/>
        <w:tab w:val="right" w:pos="9638"/>
      </w:tabs>
      <w:jc w:val="left"/>
    </w:pPr>
    <w:r>
      <w:tab/>
    </w:r>
    <w:r>
      <w:tab/>
    </w:r>
    <w:r>
      <w:tab/>
    </w:r>
    <w:r>
      <w:tab/>
    </w:r>
    <w:r w:rsidR="001A0344">
      <w:rPr>
        <w:noProof/>
        <w:lang w:val="en-GB" w:eastAsia="en-GB"/>
      </w:rPr>
      <w:drawing>
        <wp:anchor distT="0" distB="0" distL="114300" distR="114300" simplePos="0" relativeHeight="251660288" behindDoc="0" locked="0" layoutInCell="1" allowOverlap="1" wp14:anchorId="328CF920" wp14:editId="653DFC31">
          <wp:simplePos x="0" y="0"/>
          <wp:positionH relativeFrom="column">
            <wp:posOffset>5652770</wp:posOffset>
          </wp:positionH>
          <wp:positionV relativeFrom="paragraph">
            <wp:posOffset>0</wp:posOffset>
          </wp:positionV>
          <wp:extent cx="460800" cy="331200"/>
          <wp:effectExtent l="0" t="0" r="0" b="0"/>
          <wp:wrapTopAndBottom/>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60800" cy="331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18"/>
      <w:gridCol w:w="3211"/>
    </w:tblGrid>
    <w:tr w:rsidR="00E42E0B" w14:paraId="61398B9B" w14:textId="77777777" w:rsidTr="00755F80">
      <w:tc>
        <w:tcPr>
          <w:tcW w:w="3400" w:type="dxa"/>
        </w:tcPr>
        <w:p w14:paraId="06D903A4" w14:textId="77777777" w:rsidR="00E42E0B" w:rsidRDefault="00E42E0B" w:rsidP="008752AD">
          <w:pPr>
            <w:pStyle w:val="Voettekst"/>
            <w:tabs>
              <w:tab w:val="center" w:pos="2340"/>
            </w:tabs>
          </w:pPr>
        </w:p>
      </w:tc>
      <w:tc>
        <w:tcPr>
          <w:tcW w:w="3402" w:type="dxa"/>
        </w:tcPr>
        <w:p w14:paraId="4E6D54C3" w14:textId="77777777" w:rsidR="00E42E0B" w:rsidRDefault="00E42E0B" w:rsidP="008752AD">
          <w:pPr>
            <w:pStyle w:val="Voettekst"/>
            <w:tabs>
              <w:tab w:val="left" w:pos="1956"/>
            </w:tabs>
            <w:jc w:val="center"/>
          </w:pPr>
          <w:r w:rsidRPr="00AA449C">
            <w:rPr>
              <w:rStyle w:val="Paginanummer"/>
            </w:rPr>
            <w:fldChar w:fldCharType="begin"/>
          </w:r>
          <w:r w:rsidRPr="00AA449C">
            <w:rPr>
              <w:rStyle w:val="Paginanummer"/>
            </w:rPr>
            <w:instrText xml:space="preserve"> PAGE </w:instrText>
          </w:r>
          <w:r w:rsidRPr="00AA449C">
            <w:rPr>
              <w:rStyle w:val="Paginanummer"/>
            </w:rPr>
            <w:fldChar w:fldCharType="separate"/>
          </w:r>
          <w:r>
            <w:rPr>
              <w:rStyle w:val="Paginanummer"/>
              <w:noProof/>
            </w:rPr>
            <w:t>2</w:t>
          </w:r>
          <w:r w:rsidRPr="00AA449C">
            <w:rPr>
              <w:rStyle w:val="Paginanummer"/>
            </w:rPr>
            <w:fldChar w:fldCharType="end"/>
          </w:r>
          <w:r w:rsidRPr="00AA449C">
            <w:rPr>
              <w:rStyle w:val="Paginanummer"/>
            </w:rPr>
            <w:t>/</w:t>
          </w:r>
          <w:r w:rsidRPr="00AA449C">
            <w:rPr>
              <w:rStyle w:val="Paginanummer"/>
            </w:rPr>
            <w:fldChar w:fldCharType="begin"/>
          </w:r>
          <w:r w:rsidRPr="00AA449C">
            <w:rPr>
              <w:rStyle w:val="Paginanummer"/>
            </w:rPr>
            <w:instrText xml:space="preserve"> NUMPAGES </w:instrText>
          </w:r>
          <w:r w:rsidRPr="00AA449C">
            <w:rPr>
              <w:rStyle w:val="Paginanummer"/>
            </w:rPr>
            <w:fldChar w:fldCharType="separate"/>
          </w:r>
          <w:r>
            <w:rPr>
              <w:rStyle w:val="Paginanummer"/>
              <w:noProof/>
            </w:rPr>
            <w:t>1</w:t>
          </w:r>
          <w:r w:rsidRPr="00AA449C">
            <w:rPr>
              <w:rStyle w:val="Paginanummer"/>
            </w:rPr>
            <w:fldChar w:fldCharType="end"/>
          </w:r>
        </w:p>
      </w:tc>
      <w:tc>
        <w:tcPr>
          <w:tcW w:w="3402" w:type="dxa"/>
        </w:tcPr>
        <w:p w14:paraId="5359A0CB" w14:textId="77777777" w:rsidR="00E42E0B" w:rsidRDefault="00E42E0B" w:rsidP="008752AD">
          <w:pPr>
            <w:pStyle w:val="Voettekst"/>
            <w:tabs>
              <w:tab w:val="center" w:pos="2340"/>
            </w:tabs>
          </w:pPr>
        </w:p>
      </w:tc>
    </w:tr>
  </w:tbl>
  <w:p w14:paraId="77ADAE91" w14:textId="77777777" w:rsidR="00E42E0B" w:rsidRPr="008752AD" w:rsidRDefault="00E42E0B" w:rsidP="008752AD">
    <w:pPr>
      <w:pStyle w:val="Voettekst"/>
      <w:tabs>
        <w:tab w:val="center" w:pos="2410"/>
      </w:tabs>
      <w:spacing w:line="240" w:lineRule="auto"/>
      <w:rPr>
        <w:sz w:val="2"/>
        <w:szCs w:val="2"/>
      </w:rPr>
    </w:pPr>
    <w:r>
      <w:rPr>
        <w:noProof/>
        <w:lang w:val="fr-FR" w:eastAsia="fr-FR"/>
      </w:rPr>
      <w:drawing>
        <wp:anchor distT="0" distB="0" distL="114300" distR="114300" simplePos="0" relativeHeight="251667456" behindDoc="1" locked="0" layoutInCell="1" allowOverlap="1" wp14:anchorId="497AF7AC" wp14:editId="0D7C4BF7">
          <wp:simplePos x="0" y="0"/>
          <wp:positionH relativeFrom="page">
            <wp:posOffset>394855</wp:posOffset>
          </wp:positionH>
          <wp:positionV relativeFrom="page">
            <wp:posOffset>9912927</wp:posOffset>
          </wp:positionV>
          <wp:extent cx="2131200" cy="655200"/>
          <wp:effectExtent l="0" t="0" r="2540" b="0"/>
          <wp:wrapNone/>
          <wp:docPr id="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n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1200" cy="655200"/>
                  </a:xfrm>
                  <a:prstGeom prst="rect">
                    <a:avLst/>
                  </a:prstGeom>
                </pic:spPr>
              </pic:pic>
            </a:graphicData>
          </a:graphic>
          <wp14:sizeRelH relativeFrom="margin">
            <wp14:pctWidth>0</wp14:pctWidth>
          </wp14:sizeRelH>
          <wp14:sizeRelV relativeFrom="margin">
            <wp14:pctHeight>0</wp14:pctHeight>
          </wp14:sizeRelV>
        </wp:anchor>
      </w:drawing>
    </w:r>
    <w:r>
      <w:rPr>
        <w:noProof/>
        <w:lang w:val="fr-FR" w:eastAsia="fr-FR"/>
      </w:rPr>
      <w:drawing>
        <wp:anchor distT="0" distB="0" distL="114300" distR="114300" simplePos="0" relativeHeight="251670528" behindDoc="1" locked="0" layoutInCell="1" allowOverlap="1" wp14:anchorId="747B0B55" wp14:editId="2F6EBC75">
          <wp:simplePos x="0" y="0"/>
          <wp:positionH relativeFrom="page">
            <wp:posOffset>-708660</wp:posOffset>
          </wp:positionH>
          <wp:positionV relativeFrom="paragraph">
            <wp:posOffset>-413385</wp:posOffset>
          </wp:positionV>
          <wp:extent cx="9043035" cy="10795"/>
          <wp:effectExtent l="0" t="0" r="5715" b="8255"/>
          <wp:wrapNone/>
          <wp:docPr id="10" name="Afbeelding 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90"/>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43035" cy="10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68480" behindDoc="0" locked="0" layoutInCell="1" allowOverlap="1" wp14:anchorId="4640A2A7" wp14:editId="38ACCBD1">
          <wp:simplePos x="0" y="0"/>
          <wp:positionH relativeFrom="page">
            <wp:posOffset>6390640</wp:posOffset>
          </wp:positionH>
          <wp:positionV relativeFrom="page">
            <wp:posOffset>10055860</wp:posOffset>
          </wp:positionV>
          <wp:extent cx="489600" cy="360000"/>
          <wp:effectExtent l="0" t="0" r="5715" b="2540"/>
          <wp:wrapNone/>
          <wp:docPr id="11"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89600" cy="3600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2"/>
      <w:gridCol w:w="3213"/>
      <w:gridCol w:w="3213"/>
    </w:tblGrid>
    <w:tr w:rsidR="00E42E0B" w14:paraId="33A9E791" w14:textId="77777777" w:rsidTr="00764FF9">
      <w:tc>
        <w:tcPr>
          <w:tcW w:w="1650" w:type="pct"/>
        </w:tcPr>
        <w:p w14:paraId="2CF1A3C6" w14:textId="77777777" w:rsidR="00E42E0B" w:rsidRDefault="00E42E0B" w:rsidP="00755F80">
          <w:pPr>
            <w:pStyle w:val="Voettekst"/>
            <w:tabs>
              <w:tab w:val="center" w:pos="2340"/>
            </w:tabs>
          </w:pPr>
          <w:r>
            <w:t>justitie.belgium.be</w:t>
          </w:r>
        </w:p>
      </w:tc>
      <w:tc>
        <w:tcPr>
          <w:tcW w:w="1650" w:type="pct"/>
        </w:tcPr>
        <w:p w14:paraId="1AC39924" w14:textId="593B297F" w:rsidR="00E42E0B" w:rsidRDefault="00E42E0B" w:rsidP="00E03431">
          <w:pPr>
            <w:pStyle w:val="Voettekst"/>
            <w:tabs>
              <w:tab w:val="left" w:pos="1956"/>
            </w:tabs>
            <w:jc w:val="center"/>
          </w:pPr>
        </w:p>
      </w:tc>
      <w:tc>
        <w:tcPr>
          <w:tcW w:w="1650" w:type="pct"/>
        </w:tcPr>
        <w:p w14:paraId="0B4D6860" w14:textId="77777777" w:rsidR="00E42E0B" w:rsidRDefault="00E42E0B" w:rsidP="00E03431">
          <w:pPr>
            <w:pStyle w:val="Voettekst"/>
            <w:tabs>
              <w:tab w:val="center" w:pos="2340"/>
            </w:tabs>
          </w:pPr>
        </w:p>
      </w:tc>
    </w:tr>
  </w:tbl>
  <w:p w14:paraId="18258476" w14:textId="77777777" w:rsidR="00E42E0B" w:rsidRPr="00E03431" w:rsidRDefault="00E42E0B" w:rsidP="00E03431">
    <w:pPr>
      <w:pStyle w:val="Voettekst"/>
      <w:spacing w:line="240" w:lineRule="auto"/>
      <w:rPr>
        <w:sz w:val="2"/>
        <w:szCs w:val="2"/>
      </w:rPr>
    </w:pPr>
    <w:r>
      <w:rPr>
        <w:noProof/>
        <w:lang w:val="fr-FR" w:eastAsia="fr-FR"/>
      </w:rPr>
      <w:drawing>
        <wp:anchor distT="0" distB="0" distL="114300" distR="114300" simplePos="0" relativeHeight="251669504" behindDoc="0" locked="0" layoutInCell="1" allowOverlap="1" wp14:anchorId="2E44CEFB" wp14:editId="20C53712">
          <wp:simplePos x="0" y="0"/>
          <wp:positionH relativeFrom="page">
            <wp:posOffset>6480810</wp:posOffset>
          </wp:positionH>
          <wp:positionV relativeFrom="page">
            <wp:posOffset>10055860</wp:posOffset>
          </wp:positionV>
          <wp:extent cx="489600" cy="360000"/>
          <wp:effectExtent l="0" t="0" r="5715" b="2540"/>
          <wp:wrapNone/>
          <wp:docPr id="14"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9600" cy="3600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C50B0" w14:textId="77777777" w:rsidR="001A0344" w:rsidRDefault="001A0344" w:rsidP="007719B8">
      <w:pPr>
        <w:spacing w:after="0" w:line="240" w:lineRule="auto"/>
      </w:pPr>
      <w:r>
        <w:separator/>
      </w:r>
    </w:p>
  </w:footnote>
  <w:footnote w:type="continuationSeparator" w:id="0">
    <w:p w14:paraId="76A58A54" w14:textId="77777777" w:rsidR="001A0344" w:rsidRDefault="001A0344" w:rsidP="007719B8">
      <w:pPr>
        <w:spacing w:after="0" w:line="240" w:lineRule="auto"/>
      </w:pPr>
      <w:r>
        <w:continuationSeparator/>
      </w:r>
    </w:p>
  </w:footnote>
  <w:footnote w:id="1">
    <w:p w14:paraId="64988B92" w14:textId="6E469DE2" w:rsidR="001A0344" w:rsidRPr="009B00C2" w:rsidRDefault="001A0344">
      <w:pPr>
        <w:pStyle w:val="Voetnoottekst"/>
        <w:rPr>
          <w:lang w:val="fr-FR"/>
        </w:rPr>
      </w:pPr>
      <w:r w:rsidRPr="009B00C2">
        <w:rPr>
          <w:rStyle w:val="Voetnootmarkering"/>
          <w:lang w:val="fr-FR"/>
        </w:rPr>
        <w:footnoteRef/>
      </w:r>
      <w:r w:rsidRPr="009B00C2">
        <w:rPr>
          <w:lang w:val="fr-FR"/>
        </w:rPr>
        <w:t xml:space="preserve"> Sélection du type de fournisseurs : FED1 Entreprises soumises à la TVA belge - FED2 Entreprises soumises à la TVA étrangère - FED4 </w:t>
      </w:r>
      <w:r>
        <w:rPr>
          <w:lang w:val="fr-FR"/>
        </w:rPr>
        <w:t>P</w:t>
      </w:r>
      <w:r w:rsidRPr="009B00C2">
        <w:rPr>
          <w:lang w:val="fr-FR"/>
        </w:rPr>
        <w:t>ersonnes physiques - FED5 Entreprises non redevables de la TVA.</w:t>
      </w:r>
    </w:p>
  </w:footnote>
  <w:footnote w:id="2">
    <w:p w14:paraId="69E607DB" w14:textId="3CB19F42" w:rsidR="001A0344" w:rsidRPr="00741267" w:rsidRDefault="001A0344" w:rsidP="00357AAA">
      <w:pPr>
        <w:pStyle w:val="Voetnoottekst"/>
        <w:rPr>
          <w:lang w:val="fr-BE"/>
        </w:rPr>
      </w:pPr>
      <w:r>
        <w:rPr>
          <w:rStyle w:val="Voetnootmarkering"/>
        </w:rPr>
        <w:footnoteRef/>
      </w:r>
      <w:r w:rsidRPr="00741267">
        <w:rPr>
          <w:lang w:val="fr-BE"/>
        </w:rPr>
        <w:t xml:space="preserve"> La Défense, une partie du SPF Justice et SPF Fi</w:t>
      </w:r>
      <w:r>
        <w:rPr>
          <w:lang w:val="fr-BE"/>
        </w:rPr>
        <w:t>nance n’utilisent pas VIM.  Plus d’info sur les délais de paiement de ces organisations se trouvent plus bas dans cette note.</w:t>
      </w:r>
    </w:p>
  </w:footnote>
  <w:footnote w:id="3">
    <w:p w14:paraId="39302536" w14:textId="6FB1B6F5" w:rsidR="00702698" w:rsidRPr="00702698" w:rsidRDefault="00702698">
      <w:pPr>
        <w:pStyle w:val="Voetnoottekst"/>
        <w:rPr>
          <w:lang w:val="fr-FR"/>
        </w:rPr>
      </w:pPr>
      <w:r>
        <w:rPr>
          <w:rStyle w:val="Voetnootmarkering"/>
        </w:rPr>
        <w:footnoteRef/>
      </w:r>
      <w:r w:rsidRPr="00702698">
        <w:rPr>
          <w:lang w:val="fr-FR"/>
        </w:rPr>
        <w:t xml:space="preserve"> </w:t>
      </w:r>
      <w:r w:rsidR="001D0AEC" w:rsidRPr="001D0AEC">
        <w:rPr>
          <w:lang w:val="fr-FR"/>
        </w:rPr>
        <w:t>Les données de paiement du 6 au 28 janvier 2022 n'ont pas été incluses dans le rapport, car elles ont été perdues suite à une intervention technique.</w:t>
      </w:r>
    </w:p>
  </w:footnote>
  <w:footnote w:id="4">
    <w:p w14:paraId="3E54A797" w14:textId="47D7F4EE" w:rsidR="001876D9" w:rsidRPr="00527A3F" w:rsidRDefault="001876D9">
      <w:pPr>
        <w:pStyle w:val="Voetnoottekst"/>
        <w:rPr>
          <w:lang w:val="fr-FR"/>
        </w:rPr>
      </w:pPr>
      <w:r>
        <w:rPr>
          <w:rStyle w:val="Voetnootmarkering"/>
        </w:rPr>
        <w:footnoteRef/>
      </w:r>
      <w:r w:rsidRPr="00527A3F">
        <w:rPr>
          <w:lang w:val="fr-FR"/>
        </w:rPr>
        <w:t xml:space="preserve"> </w:t>
      </w:r>
      <w:r>
        <w:rPr>
          <w:lang w:val="fr-FR"/>
        </w:rPr>
        <w:t>Chez</w:t>
      </w:r>
      <w:r w:rsidRPr="00527A3F">
        <w:rPr>
          <w:lang w:val="fr-FR"/>
        </w:rPr>
        <w:t xml:space="preserve"> </w:t>
      </w:r>
      <w:r>
        <w:rPr>
          <w:lang w:val="fr-FR"/>
        </w:rPr>
        <w:t>SPP</w:t>
      </w:r>
      <w:r w:rsidRPr="00527A3F">
        <w:rPr>
          <w:lang w:val="fr-FR"/>
        </w:rPr>
        <w:t xml:space="preserve"> Intégration sociale, </w:t>
      </w:r>
      <w:r w:rsidRPr="001D0AEC">
        <w:rPr>
          <w:lang w:val="fr-FR"/>
        </w:rPr>
        <w:t xml:space="preserve">nous constatons que la date moyenne de paiement par rapport à la date de facturation donne une image faussée en raison de </w:t>
      </w:r>
      <w:r>
        <w:rPr>
          <w:lang w:val="fr-FR"/>
        </w:rPr>
        <w:t>16</w:t>
      </w:r>
      <w:r w:rsidRPr="001D0AEC">
        <w:rPr>
          <w:lang w:val="fr-FR"/>
        </w:rPr>
        <w:t xml:space="preserve"> anciennes factures </w:t>
      </w:r>
      <w:r w:rsidR="00C74F8D">
        <w:rPr>
          <w:lang w:val="fr-FR"/>
        </w:rPr>
        <w:t>(</w:t>
      </w:r>
      <w:r w:rsidRPr="001D0AEC">
        <w:rPr>
          <w:lang w:val="fr-FR"/>
        </w:rPr>
        <w:t>suite aux régularisations de 2018/2019</w:t>
      </w:r>
      <w:r w:rsidR="00C74F8D">
        <w:rPr>
          <w:lang w:val="fr-FR"/>
        </w:rPr>
        <w:t>)</w:t>
      </w:r>
      <w:r w:rsidRPr="001D0AEC">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E6386" w14:textId="77777777" w:rsidR="001A0344" w:rsidRDefault="001A0344">
    <w:pPr>
      <w:pStyle w:val="Koptekst"/>
    </w:pPr>
    <w:r>
      <w:rPr>
        <w:noProof/>
        <w:lang w:val="en-GB" w:eastAsia="en-GB"/>
      </w:rPr>
      <w:drawing>
        <wp:anchor distT="0" distB="0" distL="114300" distR="114300" simplePos="0" relativeHeight="251659264" behindDoc="0" locked="0" layoutInCell="1" allowOverlap="1" wp14:anchorId="2BDA7753" wp14:editId="7720709C">
          <wp:simplePos x="0" y="0"/>
          <wp:positionH relativeFrom="margin">
            <wp:posOffset>-252095</wp:posOffset>
          </wp:positionH>
          <wp:positionV relativeFrom="paragraph">
            <wp:posOffset>0</wp:posOffset>
          </wp:positionV>
          <wp:extent cx="3333600" cy="1123200"/>
          <wp:effectExtent l="0" t="0" r="0" b="0"/>
          <wp:wrapTopAndBottom/>
          <wp:docPr id="8" name="Graphic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333600" cy="1123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5FFF" w14:textId="77777777" w:rsidR="00E42E0B" w:rsidRDefault="00E42E0B" w:rsidP="008E564B">
    <w:pPr>
      <w:pStyle w:val="Koptekst"/>
      <w:tabs>
        <w:tab w:val="left" w:pos="25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587B2" w14:textId="77777777" w:rsidR="00E42E0B" w:rsidRDefault="00E42E0B">
    <w:pPr>
      <w:pStyle w:val="Koptekst"/>
    </w:pPr>
    <w:r>
      <w:rPr>
        <w:noProof/>
        <w:lang w:val="fr-FR" w:eastAsia="fr-FR"/>
      </w:rPr>
      <w:drawing>
        <wp:anchor distT="0" distB="0" distL="114300" distR="114300" simplePos="0" relativeHeight="251671552" behindDoc="1" locked="0" layoutInCell="1" allowOverlap="1" wp14:anchorId="5813E106" wp14:editId="0DAC83B1">
          <wp:simplePos x="0" y="0"/>
          <wp:positionH relativeFrom="page">
            <wp:posOffset>396240</wp:posOffset>
          </wp:positionH>
          <wp:positionV relativeFrom="page">
            <wp:posOffset>179705</wp:posOffset>
          </wp:positionV>
          <wp:extent cx="2131200" cy="655200"/>
          <wp:effectExtent l="0" t="0" r="2540" b="0"/>
          <wp:wrapNone/>
          <wp:docPr id="1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n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1200" cy="65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8440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A6ED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32F8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DE3F1A"/>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6C3CD1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A2A6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AE3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309ECE"/>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D00B72"/>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8CE6D2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63528A"/>
    <w:multiLevelType w:val="hybridMultilevel"/>
    <w:tmpl w:val="F39AE5E8"/>
    <w:lvl w:ilvl="0" w:tplc="63788D4A">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863B4D"/>
    <w:multiLevelType w:val="hybridMultilevel"/>
    <w:tmpl w:val="14BA8CEE"/>
    <w:lvl w:ilvl="0" w:tplc="B0DA52E8">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B207B5"/>
    <w:multiLevelType w:val="hybridMultilevel"/>
    <w:tmpl w:val="F6F0DE9E"/>
    <w:lvl w:ilvl="0" w:tplc="6B3A150E">
      <w:numFmt w:val="bullet"/>
      <w:lvlText w:val="-"/>
      <w:lvlJc w:val="left"/>
      <w:pPr>
        <w:ind w:left="720" w:hanging="360"/>
      </w:pPr>
      <w:rPr>
        <w:rFonts w:ascii="Open Sans" w:eastAsiaTheme="minorHAnsi" w:hAnsi="Open Sans" w:cs="Open San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5027C30"/>
    <w:multiLevelType w:val="hybridMultilevel"/>
    <w:tmpl w:val="484279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9B4A5E"/>
    <w:multiLevelType w:val="hybridMultilevel"/>
    <w:tmpl w:val="4834480C"/>
    <w:lvl w:ilvl="0" w:tplc="7E32CCEE">
      <w:start w:val="1"/>
      <w:numFmt w:val="decimal"/>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54A32B37"/>
    <w:multiLevelType w:val="hybridMultilevel"/>
    <w:tmpl w:val="1710460E"/>
    <w:lvl w:ilvl="0" w:tplc="94D8AF6A">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C8097F"/>
    <w:multiLevelType w:val="hybridMultilevel"/>
    <w:tmpl w:val="E560254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5"/>
  </w:num>
  <w:num w:numId="12">
    <w:abstractNumId w:val="10"/>
  </w:num>
  <w:num w:numId="13">
    <w:abstractNumId w:val="11"/>
  </w:num>
  <w:num w:numId="14">
    <w:abstractNumId w:val="12"/>
  </w:num>
  <w:num w:numId="15">
    <w:abstractNumId w:val="16"/>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BB28" w:allStyles="0" w:customStyles="0" w:latentStyles="0" w:stylesInUse="1" w:headingStyles="1" w:numberingStyles="0" w:tableStyles="0" w:directFormattingOnRuns="1" w:directFormattingOnParagraphs="1" w:directFormattingOnNumbering="0" w:directFormattingOnTables="1" w:clearFormatting="1" w:top3HeadingStyles="1" w:visibleStyles="0" w:alternateStyleNames="1"/>
  <w:defaultTabStop w:val="720"/>
  <w:hyphenationZone w:val="425"/>
  <w:characterSpacingControl w:val="doNotCompress"/>
  <w:hdrShapeDefaults>
    <o:shapedefaults v:ext="edit" spidmax="3891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48A"/>
    <w:rsid w:val="00003539"/>
    <w:rsid w:val="00006B0D"/>
    <w:rsid w:val="000078A2"/>
    <w:rsid w:val="00036A8B"/>
    <w:rsid w:val="00040AFF"/>
    <w:rsid w:val="00042E17"/>
    <w:rsid w:val="00061171"/>
    <w:rsid w:val="00062A08"/>
    <w:rsid w:val="00067D16"/>
    <w:rsid w:val="0008025C"/>
    <w:rsid w:val="000B6DDE"/>
    <w:rsid w:val="000D2FDF"/>
    <w:rsid w:val="000D3A58"/>
    <w:rsid w:val="000F5CC5"/>
    <w:rsid w:val="0010088C"/>
    <w:rsid w:val="00117EBD"/>
    <w:rsid w:val="00126469"/>
    <w:rsid w:val="001475A7"/>
    <w:rsid w:val="00154E5C"/>
    <w:rsid w:val="0015510C"/>
    <w:rsid w:val="00172268"/>
    <w:rsid w:val="00177588"/>
    <w:rsid w:val="00184697"/>
    <w:rsid w:val="001876D9"/>
    <w:rsid w:val="001A0344"/>
    <w:rsid w:val="001B4851"/>
    <w:rsid w:val="001B7DB3"/>
    <w:rsid w:val="001D0AEC"/>
    <w:rsid w:val="001E632C"/>
    <w:rsid w:val="001E7537"/>
    <w:rsid w:val="00213334"/>
    <w:rsid w:val="00230DF0"/>
    <w:rsid w:val="00233FDC"/>
    <w:rsid w:val="00243EBA"/>
    <w:rsid w:val="002625C9"/>
    <w:rsid w:val="002714A1"/>
    <w:rsid w:val="00280B85"/>
    <w:rsid w:val="0028762A"/>
    <w:rsid w:val="00291D00"/>
    <w:rsid w:val="002A009D"/>
    <w:rsid w:val="002B35A8"/>
    <w:rsid w:val="002B674D"/>
    <w:rsid w:val="002C1F9D"/>
    <w:rsid w:val="002C5C7C"/>
    <w:rsid w:val="002D3EB7"/>
    <w:rsid w:val="002E3D55"/>
    <w:rsid w:val="002F2646"/>
    <w:rsid w:val="00306628"/>
    <w:rsid w:val="003357AA"/>
    <w:rsid w:val="00346255"/>
    <w:rsid w:val="00351647"/>
    <w:rsid w:val="00357AAA"/>
    <w:rsid w:val="003634A1"/>
    <w:rsid w:val="00382782"/>
    <w:rsid w:val="00397E83"/>
    <w:rsid w:val="003A20F1"/>
    <w:rsid w:val="003B42A8"/>
    <w:rsid w:val="003B6692"/>
    <w:rsid w:val="003D03B3"/>
    <w:rsid w:val="003D1841"/>
    <w:rsid w:val="003D778D"/>
    <w:rsid w:val="003E0471"/>
    <w:rsid w:val="003E0AB6"/>
    <w:rsid w:val="00410C26"/>
    <w:rsid w:val="00421D7A"/>
    <w:rsid w:val="0042417A"/>
    <w:rsid w:val="004412D1"/>
    <w:rsid w:val="0044318B"/>
    <w:rsid w:val="0048329C"/>
    <w:rsid w:val="004838BF"/>
    <w:rsid w:val="0048517A"/>
    <w:rsid w:val="0049292B"/>
    <w:rsid w:val="00497F51"/>
    <w:rsid w:val="004A408A"/>
    <w:rsid w:val="004A4373"/>
    <w:rsid w:val="004A43A9"/>
    <w:rsid w:val="004D124F"/>
    <w:rsid w:val="004D1833"/>
    <w:rsid w:val="004D5612"/>
    <w:rsid w:val="004D5860"/>
    <w:rsid w:val="004D60BA"/>
    <w:rsid w:val="004E5098"/>
    <w:rsid w:val="004F0366"/>
    <w:rsid w:val="004F7714"/>
    <w:rsid w:val="00504108"/>
    <w:rsid w:val="00527A3F"/>
    <w:rsid w:val="0053134B"/>
    <w:rsid w:val="00531E8B"/>
    <w:rsid w:val="00541BE5"/>
    <w:rsid w:val="00546504"/>
    <w:rsid w:val="00553778"/>
    <w:rsid w:val="00555728"/>
    <w:rsid w:val="005760DE"/>
    <w:rsid w:val="0058184E"/>
    <w:rsid w:val="005920ED"/>
    <w:rsid w:val="00597D8F"/>
    <w:rsid w:val="005C26A9"/>
    <w:rsid w:val="005D558C"/>
    <w:rsid w:val="005F784D"/>
    <w:rsid w:val="00614B09"/>
    <w:rsid w:val="00615154"/>
    <w:rsid w:val="00625CCB"/>
    <w:rsid w:val="006271E8"/>
    <w:rsid w:val="006312ED"/>
    <w:rsid w:val="00635610"/>
    <w:rsid w:val="006470F4"/>
    <w:rsid w:val="0065746C"/>
    <w:rsid w:val="00665361"/>
    <w:rsid w:val="006D1711"/>
    <w:rsid w:val="006D3557"/>
    <w:rsid w:val="00701C29"/>
    <w:rsid w:val="00702698"/>
    <w:rsid w:val="00706F1B"/>
    <w:rsid w:val="007373BD"/>
    <w:rsid w:val="00741267"/>
    <w:rsid w:val="00743DDB"/>
    <w:rsid w:val="00747163"/>
    <w:rsid w:val="007700E3"/>
    <w:rsid w:val="007719B8"/>
    <w:rsid w:val="0077278D"/>
    <w:rsid w:val="00776AD3"/>
    <w:rsid w:val="00777C53"/>
    <w:rsid w:val="007C7A55"/>
    <w:rsid w:val="007F399A"/>
    <w:rsid w:val="007F4614"/>
    <w:rsid w:val="00800E9D"/>
    <w:rsid w:val="00810B84"/>
    <w:rsid w:val="0085345D"/>
    <w:rsid w:val="00874E9C"/>
    <w:rsid w:val="008A014D"/>
    <w:rsid w:val="008B3E7B"/>
    <w:rsid w:val="008B7774"/>
    <w:rsid w:val="008D5E95"/>
    <w:rsid w:val="008E1986"/>
    <w:rsid w:val="00903EB2"/>
    <w:rsid w:val="009152EC"/>
    <w:rsid w:val="00921E7B"/>
    <w:rsid w:val="00922164"/>
    <w:rsid w:val="00927DF7"/>
    <w:rsid w:val="00933DD3"/>
    <w:rsid w:val="00950FD5"/>
    <w:rsid w:val="00976353"/>
    <w:rsid w:val="0097760F"/>
    <w:rsid w:val="0098581C"/>
    <w:rsid w:val="009A0288"/>
    <w:rsid w:val="009B00C2"/>
    <w:rsid w:val="009E2FD8"/>
    <w:rsid w:val="009E62A1"/>
    <w:rsid w:val="009E62D4"/>
    <w:rsid w:val="00A072FC"/>
    <w:rsid w:val="00A31C55"/>
    <w:rsid w:val="00A6176C"/>
    <w:rsid w:val="00A76C5D"/>
    <w:rsid w:val="00A8041F"/>
    <w:rsid w:val="00A83A90"/>
    <w:rsid w:val="00AA6287"/>
    <w:rsid w:val="00AB2910"/>
    <w:rsid w:val="00AB381E"/>
    <w:rsid w:val="00AC5DB1"/>
    <w:rsid w:val="00AC67B3"/>
    <w:rsid w:val="00AD3644"/>
    <w:rsid w:val="00AD432C"/>
    <w:rsid w:val="00AE6B1E"/>
    <w:rsid w:val="00AF2820"/>
    <w:rsid w:val="00B00C33"/>
    <w:rsid w:val="00B03809"/>
    <w:rsid w:val="00B14DAA"/>
    <w:rsid w:val="00B21423"/>
    <w:rsid w:val="00B25337"/>
    <w:rsid w:val="00B325DA"/>
    <w:rsid w:val="00B6401A"/>
    <w:rsid w:val="00B647F5"/>
    <w:rsid w:val="00B84A97"/>
    <w:rsid w:val="00B853AB"/>
    <w:rsid w:val="00B94952"/>
    <w:rsid w:val="00B94F1C"/>
    <w:rsid w:val="00B978B4"/>
    <w:rsid w:val="00BA1F72"/>
    <w:rsid w:val="00BA34E5"/>
    <w:rsid w:val="00BA454C"/>
    <w:rsid w:val="00BC24D8"/>
    <w:rsid w:val="00BD575B"/>
    <w:rsid w:val="00BE658D"/>
    <w:rsid w:val="00BF548A"/>
    <w:rsid w:val="00C02028"/>
    <w:rsid w:val="00C0376F"/>
    <w:rsid w:val="00C13B41"/>
    <w:rsid w:val="00C2174B"/>
    <w:rsid w:val="00C2316E"/>
    <w:rsid w:val="00C2691D"/>
    <w:rsid w:val="00C35F6F"/>
    <w:rsid w:val="00C428F9"/>
    <w:rsid w:val="00C556B4"/>
    <w:rsid w:val="00C74F8D"/>
    <w:rsid w:val="00C84DEA"/>
    <w:rsid w:val="00CA560E"/>
    <w:rsid w:val="00CB5260"/>
    <w:rsid w:val="00CB54FF"/>
    <w:rsid w:val="00CD028C"/>
    <w:rsid w:val="00CD1B6D"/>
    <w:rsid w:val="00CD45CE"/>
    <w:rsid w:val="00CE3CED"/>
    <w:rsid w:val="00CF5865"/>
    <w:rsid w:val="00CF6713"/>
    <w:rsid w:val="00D114C1"/>
    <w:rsid w:val="00D13942"/>
    <w:rsid w:val="00D362D7"/>
    <w:rsid w:val="00D43744"/>
    <w:rsid w:val="00D5181C"/>
    <w:rsid w:val="00D5268C"/>
    <w:rsid w:val="00D56E7A"/>
    <w:rsid w:val="00D73F62"/>
    <w:rsid w:val="00D862DA"/>
    <w:rsid w:val="00DC0BFC"/>
    <w:rsid w:val="00DC6F62"/>
    <w:rsid w:val="00DF2188"/>
    <w:rsid w:val="00DF51E0"/>
    <w:rsid w:val="00DF6E0D"/>
    <w:rsid w:val="00E10395"/>
    <w:rsid w:val="00E11167"/>
    <w:rsid w:val="00E23B2B"/>
    <w:rsid w:val="00E32355"/>
    <w:rsid w:val="00E330E1"/>
    <w:rsid w:val="00E42E0B"/>
    <w:rsid w:val="00EA5638"/>
    <w:rsid w:val="00EA69F0"/>
    <w:rsid w:val="00EE15EB"/>
    <w:rsid w:val="00EE24FA"/>
    <w:rsid w:val="00EE613C"/>
    <w:rsid w:val="00F15AC7"/>
    <w:rsid w:val="00F20E9B"/>
    <w:rsid w:val="00F24C8D"/>
    <w:rsid w:val="00F371A2"/>
    <w:rsid w:val="00F42F71"/>
    <w:rsid w:val="00F51117"/>
    <w:rsid w:val="00F5639C"/>
    <w:rsid w:val="00F63D50"/>
    <w:rsid w:val="00F66DEE"/>
    <w:rsid w:val="00F71847"/>
    <w:rsid w:val="00F83B0A"/>
    <w:rsid w:val="00F901A7"/>
    <w:rsid w:val="00FA0285"/>
    <w:rsid w:val="00FC4979"/>
    <w:rsid w:val="00FE321F"/>
    <w:rsid w:val="00FF4043"/>
    <w:rsid w:val="00FF4AA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139E9C8"/>
  <w15:chartTrackingRefBased/>
  <w15:docId w15:val="{1949DDAE-3D27-4404-984C-801638A29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semiHidden="1" w:uiPriority="32" w:unhideWhenUsed="1"/>
    <w:lsdException w:name="Book Title" w:semiHidden="1" w:uiPriority="39"/>
    <w:lsdException w:name="Bibliography" w:semiHidden="1" w:uiPriority="39" w:unhideWhenUsed="1"/>
    <w:lsdException w:name="TOC Heading" w:semiHidden="1" w:uiPriority="35"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2174B"/>
    <w:pPr>
      <w:suppressAutoHyphens/>
      <w:spacing w:after="400" w:line="320" w:lineRule="exact"/>
    </w:pPr>
    <w:rPr>
      <w:sz w:val="21"/>
    </w:rPr>
  </w:style>
  <w:style w:type="paragraph" w:styleId="Kop1">
    <w:name w:val="heading 1"/>
    <w:basedOn w:val="Standaard"/>
    <w:next w:val="Standaard"/>
    <w:link w:val="Kop1Char"/>
    <w:uiPriority w:val="9"/>
    <w:qFormat/>
    <w:rsid w:val="008B3E7B"/>
    <w:pPr>
      <w:keepNext/>
      <w:keepLines/>
      <w:spacing w:line="278" w:lineRule="auto"/>
      <w:outlineLvl w:val="0"/>
    </w:pPr>
    <w:rPr>
      <w:rFonts w:asciiTheme="majorHAnsi" w:eastAsiaTheme="majorEastAsia" w:hAnsiTheme="majorHAnsi" w:cstheme="majorBidi"/>
      <w:b/>
      <w:sz w:val="68"/>
      <w:szCs w:val="32"/>
    </w:rPr>
  </w:style>
  <w:style w:type="paragraph" w:styleId="Kop2">
    <w:name w:val="heading 2"/>
    <w:basedOn w:val="Kop1"/>
    <w:next w:val="Standaard"/>
    <w:link w:val="Kop2Char"/>
    <w:uiPriority w:val="9"/>
    <w:qFormat/>
    <w:rsid w:val="008B3E7B"/>
    <w:pPr>
      <w:outlineLvl w:val="1"/>
    </w:pPr>
    <w:rPr>
      <w:rFonts w:cs="Times New Roman (Headings CS)"/>
      <w:sz w:val="52"/>
      <w:szCs w:val="26"/>
    </w:rPr>
  </w:style>
  <w:style w:type="paragraph" w:styleId="Kop3">
    <w:name w:val="heading 3"/>
    <w:basedOn w:val="Kop1"/>
    <w:next w:val="Standaard"/>
    <w:link w:val="Kop3Char"/>
    <w:uiPriority w:val="9"/>
    <w:qFormat/>
    <w:rsid w:val="008B3E7B"/>
    <w:pPr>
      <w:spacing w:after="320" w:line="259" w:lineRule="auto"/>
      <w:outlineLvl w:val="2"/>
    </w:pPr>
    <w:rPr>
      <w:rFonts w:ascii="Montserrat SemiBold" w:hAnsi="Montserrat SemiBold" w:cs="Times New Roman (Headings CS)"/>
      <w:sz w:val="38"/>
    </w:rPr>
  </w:style>
  <w:style w:type="paragraph" w:styleId="Kop4">
    <w:name w:val="heading 4"/>
    <w:basedOn w:val="Kop3"/>
    <w:next w:val="Standaard"/>
    <w:link w:val="Kop4Char"/>
    <w:uiPriority w:val="9"/>
    <w:qFormat/>
    <w:rsid w:val="008B3E7B"/>
    <w:pPr>
      <w:spacing w:after="160"/>
      <w:outlineLvl w:val="3"/>
    </w:pPr>
    <w:rPr>
      <w:b w:val="0"/>
      <w:iCs/>
      <w:sz w:val="26"/>
    </w:rPr>
  </w:style>
  <w:style w:type="paragraph" w:styleId="Kop5">
    <w:name w:val="heading 5"/>
    <w:basedOn w:val="Standaard"/>
    <w:next w:val="Standaard"/>
    <w:link w:val="Kop5Char"/>
    <w:uiPriority w:val="9"/>
    <w:semiHidden/>
    <w:rsid w:val="00BA454C"/>
    <w:pPr>
      <w:keepNext/>
      <w:keepLines/>
      <w:spacing w:after="0"/>
      <w:outlineLvl w:val="4"/>
    </w:pPr>
    <w:rPr>
      <w:rFonts w:asciiTheme="majorHAnsi" w:eastAsiaTheme="majorEastAsia" w:hAnsiTheme="majorHAnsi" w:cstheme="majorBidi"/>
      <w:color w:val="004050" w:themeColor="accent1" w:themeShade="BF"/>
    </w:rPr>
  </w:style>
  <w:style w:type="paragraph" w:styleId="Kop6">
    <w:name w:val="heading 6"/>
    <w:basedOn w:val="Standaard"/>
    <w:next w:val="Standaard"/>
    <w:link w:val="Kop6Char"/>
    <w:uiPriority w:val="9"/>
    <w:semiHidden/>
    <w:rsid w:val="00BA454C"/>
    <w:pPr>
      <w:keepNext/>
      <w:keepLines/>
      <w:spacing w:after="0"/>
      <w:outlineLvl w:val="5"/>
    </w:pPr>
    <w:rPr>
      <w:rFonts w:asciiTheme="majorHAnsi" w:eastAsiaTheme="majorEastAsia" w:hAnsiTheme="majorHAnsi" w:cstheme="majorBidi"/>
      <w:color w:val="002A35" w:themeColor="accent1" w:themeShade="7F"/>
    </w:rPr>
  </w:style>
  <w:style w:type="paragraph" w:styleId="Kop7">
    <w:name w:val="heading 7"/>
    <w:basedOn w:val="Standaard"/>
    <w:next w:val="Standaard"/>
    <w:link w:val="Kop7Char"/>
    <w:uiPriority w:val="9"/>
    <w:semiHidden/>
    <w:rsid w:val="00BA454C"/>
    <w:pPr>
      <w:keepNext/>
      <w:keepLines/>
      <w:spacing w:after="0"/>
      <w:outlineLvl w:val="6"/>
    </w:pPr>
    <w:rPr>
      <w:rFonts w:asciiTheme="majorHAnsi" w:eastAsiaTheme="majorEastAsia" w:hAnsiTheme="majorHAnsi" w:cstheme="majorBidi"/>
      <w:i/>
      <w:iCs/>
      <w:color w:val="002A35" w:themeColor="accent1" w:themeShade="7F"/>
    </w:rPr>
  </w:style>
  <w:style w:type="paragraph" w:styleId="Kop8">
    <w:name w:val="heading 8"/>
    <w:basedOn w:val="Standaard"/>
    <w:next w:val="Standaard"/>
    <w:link w:val="Kop8Char"/>
    <w:uiPriority w:val="9"/>
    <w:semiHidden/>
    <w:rsid w:val="00BA454C"/>
    <w:pPr>
      <w:keepNext/>
      <w:keepLines/>
      <w:spacing w:after="0"/>
      <w:outlineLvl w:val="7"/>
    </w:pPr>
    <w:rPr>
      <w:rFonts w:asciiTheme="majorHAnsi" w:eastAsiaTheme="majorEastAsia" w:hAnsiTheme="majorHAnsi" w:cstheme="majorBidi"/>
      <w:color w:val="1B4851" w:themeColor="text1" w:themeTint="D8"/>
      <w:szCs w:val="21"/>
    </w:rPr>
  </w:style>
  <w:style w:type="paragraph" w:styleId="Kop9">
    <w:name w:val="heading 9"/>
    <w:basedOn w:val="Standaard"/>
    <w:next w:val="Standaard"/>
    <w:link w:val="Kop9Char"/>
    <w:uiPriority w:val="9"/>
    <w:semiHidden/>
    <w:rsid w:val="00BA454C"/>
    <w:pPr>
      <w:keepNext/>
      <w:keepLines/>
      <w:spacing w:after="0"/>
      <w:outlineLvl w:val="8"/>
    </w:pPr>
    <w:rPr>
      <w:rFonts w:asciiTheme="majorHAnsi" w:eastAsiaTheme="majorEastAsia" w:hAnsiTheme="majorHAnsi" w:cstheme="majorBidi"/>
      <w:i/>
      <w:iCs/>
      <w:color w:val="1B4851"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2174B"/>
    <w:rPr>
      <w:sz w:val="21"/>
    </w:rPr>
  </w:style>
  <w:style w:type="character" w:customStyle="1" w:styleId="Kop1Char">
    <w:name w:val="Kop 1 Char"/>
    <w:basedOn w:val="Standaardalinea-lettertype"/>
    <w:link w:val="Kop1"/>
    <w:uiPriority w:val="9"/>
    <w:rsid w:val="008B3E7B"/>
    <w:rPr>
      <w:rFonts w:asciiTheme="majorHAnsi" w:eastAsiaTheme="majorEastAsia" w:hAnsiTheme="majorHAnsi" w:cstheme="majorBidi"/>
      <w:b/>
      <w:sz w:val="68"/>
      <w:szCs w:val="32"/>
      <w:lang w:val="nl-NL"/>
    </w:rPr>
  </w:style>
  <w:style w:type="character" w:customStyle="1" w:styleId="Kop2Char">
    <w:name w:val="Kop 2 Char"/>
    <w:basedOn w:val="Standaardalinea-lettertype"/>
    <w:link w:val="Kop2"/>
    <w:uiPriority w:val="9"/>
    <w:rsid w:val="008B3E7B"/>
    <w:rPr>
      <w:rFonts w:asciiTheme="majorHAnsi" w:eastAsiaTheme="majorEastAsia" w:hAnsiTheme="majorHAnsi" w:cs="Times New Roman (Headings CS)"/>
      <w:b/>
      <w:sz w:val="52"/>
      <w:szCs w:val="26"/>
      <w:lang w:val="nl-NL"/>
    </w:rPr>
  </w:style>
  <w:style w:type="character" w:customStyle="1" w:styleId="Kop3Char">
    <w:name w:val="Kop 3 Char"/>
    <w:basedOn w:val="Standaardalinea-lettertype"/>
    <w:link w:val="Kop3"/>
    <w:uiPriority w:val="9"/>
    <w:rsid w:val="008B3E7B"/>
    <w:rPr>
      <w:rFonts w:ascii="Montserrat SemiBold" w:eastAsiaTheme="majorEastAsia" w:hAnsi="Montserrat SemiBold" w:cs="Times New Roman (Headings CS)"/>
      <w:b/>
      <w:sz w:val="38"/>
      <w:szCs w:val="32"/>
      <w:lang w:val="nl-NL"/>
    </w:rPr>
  </w:style>
  <w:style w:type="character" w:styleId="Zwaar">
    <w:name w:val="Strong"/>
    <w:uiPriority w:val="22"/>
    <w:qFormat/>
    <w:rsid w:val="008B3E7B"/>
    <w:rPr>
      <w:b/>
      <w:bCs/>
    </w:rPr>
  </w:style>
  <w:style w:type="character" w:customStyle="1" w:styleId="Kop4Char">
    <w:name w:val="Kop 4 Char"/>
    <w:basedOn w:val="Standaardalinea-lettertype"/>
    <w:link w:val="Kop4"/>
    <w:uiPriority w:val="9"/>
    <w:rsid w:val="008B3E7B"/>
    <w:rPr>
      <w:rFonts w:ascii="Montserrat SemiBold" w:eastAsiaTheme="majorEastAsia" w:hAnsi="Montserrat SemiBold" w:cs="Times New Roman (Headings CS)"/>
      <w:iCs/>
      <w:sz w:val="26"/>
      <w:szCs w:val="32"/>
      <w:lang w:val="nl-NL"/>
    </w:rPr>
  </w:style>
  <w:style w:type="character" w:customStyle="1" w:styleId="Kop5Char">
    <w:name w:val="Kop 5 Char"/>
    <w:basedOn w:val="Standaardalinea-lettertype"/>
    <w:link w:val="Kop5"/>
    <w:uiPriority w:val="9"/>
    <w:semiHidden/>
    <w:rsid w:val="0077278D"/>
    <w:rPr>
      <w:rFonts w:asciiTheme="majorHAnsi" w:eastAsiaTheme="majorEastAsia" w:hAnsiTheme="majorHAnsi" w:cstheme="majorBidi"/>
      <w:color w:val="004050" w:themeColor="accent1" w:themeShade="BF"/>
      <w:sz w:val="21"/>
      <w:lang w:val="nl-NL"/>
    </w:rPr>
  </w:style>
  <w:style w:type="character" w:customStyle="1" w:styleId="Kop6Char">
    <w:name w:val="Kop 6 Char"/>
    <w:basedOn w:val="Standaardalinea-lettertype"/>
    <w:link w:val="Kop6"/>
    <w:uiPriority w:val="9"/>
    <w:semiHidden/>
    <w:rsid w:val="0077278D"/>
    <w:rPr>
      <w:rFonts w:asciiTheme="majorHAnsi" w:eastAsiaTheme="majorEastAsia" w:hAnsiTheme="majorHAnsi" w:cstheme="majorBidi"/>
      <w:color w:val="002A35" w:themeColor="accent1" w:themeShade="7F"/>
      <w:sz w:val="21"/>
      <w:lang w:val="nl-NL"/>
    </w:rPr>
  </w:style>
  <w:style w:type="character" w:customStyle="1" w:styleId="Kop7Char">
    <w:name w:val="Kop 7 Char"/>
    <w:basedOn w:val="Standaardalinea-lettertype"/>
    <w:link w:val="Kop7"/>
    <w:uiPriority w:val="9"/>
    <w:semiHidden/>
    <w:rsid w:val="0077278D"/>
    <w:rPr>
      <w:rFonts w:asciiTheme="majorHAnsi" w:eastAsiaTheme="majorEastAsia" w:hAnsiTheme="majorHAnsi" w:cstheme="majorBidi"/>
      <w:i/>
      <w:iCs/>
      <w:color w:val="002A35" w:themeColor="accent1" w:themeShade="7F"/>
      <w:sz w:val="21"/>
      <w:lang w:val="nl-NL"/>
    </w:rPr>
  </w:style>
  <w:style w:type="character" w:customStyle="1" w:styleId="Kop8Char">
    <w:name w:val="Kop 8 Char"/>
    <w:basedOn w:val="Standaardalinea-lettertype"/>
    <w:link w:val="Kop8"/>
    <w:uiPriority w:val="9"/>
    <w:semiHidden/>
    <w:rsid w:val="0077278D"/>
    <w:rPr>
      <w:rFonts w:asciiTheme="majorHAnsi" w:eastAsiaTheme="majorEastAsia" w:hAnsiTheme="majorHAnsi" w:cstheme="majorBidi"/>
      <w:color w:val="1B4851" w:themeColor="text1" w:themeTint="D8"/>
      <w:sz w:val="21"/>
      <w:szCs w:val="21"/>
      <w:lang w:val="nl-NL"/>
    </w:rPr>
  </w:style>
  <w:style w:type="character" w:customStyle="1" w:styleId="Kop9Char">
    <w:name w:val="Kop 9 Char"/>
    <w:basedOn w:val="Standaardalinea-lettertype"/>
    <w:link w:val="Kop9"/>
    <w:uiPriority w:val="9"/>
    <w:semiHidden/>
    <w:rsid w:val="0077278D"/>
    <w:rPr>
      <w:rFonts w:asciiTheme="majorHAnsi" w:eastAsiaTheme="majorEastAsia" w:hAnsiTheme="majorHAnsi" w:cstheme="majorBidi"/>
      <w:i/>
      <w:iCs/>
      <w:color w:val="1B4851" w:themeColor="text1" w:themeTint="D8"/>
      <w:sz w:val="21"/>
      <w:szCs w:val="21"/>
      <w:lang w:val="nl-NL"/>
    </w:rPr>
  </w:style>
  <w:style w:type="paragraph" w:styleId="Titel">
    <w:name w:val="Title"/>
    <w:basedOn w:val="Standaard"/>
    <w:next w:val="Ondertitel"/>
    <w:link w:val="TitelChar"/>
    <w:uiPriority w:val="30"/>
    <w:qFormat/>
    <w:rsid w:val="008B3E7B"/>
    <w:pPr>
      <w:spacing w:after="200" w:line="240" w:lineRule="auto"/>
      <w:contextualSpacing/>
    </w:pPr>
    <w:rPr>
      <w:rFonts w:asciiTheme="majorHAnsi" w:eastAsiaTheme="majorEastAsia" w:hAnsiTheme="majorHAnsi" w:cstheme="majorBidi"/>
      <w:b/>
      <w:spacing w:val="-10"/>
      <w:kern w:val="28"/>
      <w:sz w:val="88"/>
      <w:szCs w:val="56"/>
    </w:rPr>
  </w:style>
  <w:style w:type="character" w:customStyle="1" w:styleId="TitelChar">
    <w:name w:val="Titel Char"/>
    <w:basedOn w:val="Standaardalinea-lettertype"/>
    <w:link w:val="Titel"/>
    <w:uiPriority w:val="30"/>
    <w:rsid w:val="0077278D"/>
    <w:rPr>
      <w:rFonts w:asciiTheme="majorHAnsi" w:eastAsiaTheme="majorEastAsia" w:hAnsiTheme="majorHAnsi" w:cstheme="majorBidi"/>
      <w:b/>
      <w:spacing w:val="-10"/>
      <w:kern w:val="28"/>
      <w:sz w:val="88"/>
      <w:szCs w:val="56"/>
      <w:lang w:val="nl-NL"/>
    </w:rPr>
  </w:style>
  <w:style w:type="paragraph" w:styleId="Ondertitel">
    <w:name w:val="Subtitle"/>
    <w:basedOn w:val="Standaard"/>
    <w:next w:val="Standaard"/>
    <w:link w:val="OndertitelChar"/>
    <w:uiPriority w:val="31"/>
    <w:qFormat/>
    <w:rsid w:val="00CB5260"/>
    <w:pPr>
      <w:numPr>
        <w:ilvl w:val="1"/>
      </w:numPr>
      <w:spacing w:after="160" w:line="240" w:lineRule="auto"/>
      <w:contextualSpacing/>
    </w:pPr>
    <w:rPr>
      <w:rFonts w:ascii="Montserrat SemiBold" w:eastAsiaTheme="minorEastAsia" w:hAnsi="Montserrat SemiBold" w:cs="Times New Roman (Body CS)"/>
      <w:color w:val="328798" w:themeColor="text1" w:themeTint="A5"/>
      <w:spacing w:val="15"/>
      <w:sz w:val="52"/>
      <w:szCs w:val="22"/>
    </w:rPr>
  </w:style>
  <w:style w:type="character" w:customStyle="1" w:styleId="OndertitelChar">
    <w:name w:val="Ondertitel Char"/>
    <w:basedOn w:val="Standaardalinea-lettertype"/>
    <w:link w:val="Ondertitel"/>
    <w:uiPriority w:val="31"/>
    <w:rsid w:val="0077278D"/>
    <w:rPr>
      <w:rFonts w:ascii="Montserrat SemiBold" w:eastAsiaTheme="minorEastAsia" w:hAnsi="Montserrat SemiBold" w:cs="Times New Roman (Body CS)"/>
      <w:color w:val="328798" w:themeColor="text1" w:themeTint="A5"/>
      <w:spacing w:val="15"/>
      <w:sz w:val="52"/>
      <w:szCs w:val="22"/>
      <w:lang w:val="nl-NL"/>
    </w:rPr>
  </w:style>
  <w:style w:type="paragraph" w:styleId="Citaat">
    <w:name w:val="Quote"/>
    <w:aliases w:val="Highlight - Vertical Line"/>
    <w:basedOn w:val="Standaard"/>
    <w:next w:val="Standaard"/>
    <w:link w:val="CitaatChar"/>
    <w:uiPriority w:val="19"/>
    <w:qFormat/>
    <w:rsid w:val="008B3E7B"/>
    <w:pPr>
      <w:keepLines/>
      <w:framePr w:vSpace="312" w:wrap="notBeside" w:vAnchor="text" w:hAnchor="text" w:y="1"/>
      <w:pBdr>
        <w:left w:val="single" w:sz="48" w:space="16" w:color="FFED75" w:themeColor="accent2"/>
      </w:pBdr>
      <w:spacing w:after="0" w:line="440" w:lineRule="exact"/>
    </w:pPr>
    <w:rPr>
      <w:iCs/>
      <w:sz w:val="24"/>
    </w:rPr>
  </w:style>
  <w:style w:type="character" w:styleId="Nadruk">
    <w:name w:val="Emphasis"/>
    <w:uiPriority w:val="6"/>
    <w:qFormat/>
    <w:rsid w:val="008B3E7B"/>
    <w:rPr>
      <w:i/>
      <w:iCs/>
    </w:rPr>
  </w:style>
  <w:style w:type="character" w:styleId="Intensievebenadrukking">
    <w:name w:val="Intense Emphasis"/>
    <w:basedOn w:val="Standaardalinea-lettertype"/>
    <w:uiPriority w:val="99"/>
    <w:semiHidden/>
    <w:rsid w:val="00BA454C"/>
    <w:rPr>
      <w:rFonts w:asciiTheme="minorHAnsi" w:hAnsiTheme="minorHAnsi"/>
      <w:b w:val="0"/>
      <w:i/>
      <w:iCs/>
      <w:color w:val="00566B" w:themeColor="accent1"/>
      <w:sz w:val="21"/>
    </w:rPr>
  </w:style>
  <w:style w:type="character" w:customStyle="1" w:styleId="CitaatChar">
    <w:name w:val="Citaat Char"/>
    <w:aliases w:val="Highlight - Vertical Line Char"/>
    <w:basedOn w:val="Standaardalinea-lettertype"/>
    <w:link w:val="Citaat"/>
    <w:uiPriority w:val="19"/>
    <w:rsid w:val="0077278D"/>
    <w:rPr>
      <w:iCs/>
      <w:lang w:val="nl-NL"/>
    </w:rPr>
  </w:style>
  <w:style w:type="paragraph" w:styleId="Duidelijkcitaat">
    <w:name w:val="Intense Quote"/>
    <w:aliases w:val="Highlight - Full frame - Soft green"/>
    <w:basedOn w:val="Standaard"/>
    <w:next w:val="Standaard"/>
    <w:link w:val="DuidelijkcitaatChar"/>
    <w:uiPriority w:val="20"/>
    <w:qFormat/>
    <w:rsid w:val="008B3E7B"/>
    <w:pPr>
      <w:framePr w:vSpace="301" w:wrap="notBeside" w:vAnchor="text" w:hAnchor="text" w:y="1"/>
      <w:pBdr>
        <w:top w:val="single" w:sz="24" w:space="10" w:color="B6E7DD" w:themeColor="accent5"/>
        <w:left w:val="single" w:sz="24" w:space="10" w:color="B6E7DD" w:themeColor="accent5"/>
        <w:bottom w:val="single" w:sz="24" w:space="10" w:color="B6E7DD" w:themeColor="accent5"/>
        <w:right w:val="single" w:sz="24" w:space="10" w:color="B6E7DD" w:themeColor="accent5"/>
      </w:pBdr>
      <w:shd w:val="clear" w:color="auto" w:fill="B6E7DD" w:themeFill="accent5"/>
      <w:spacing w:after="0"/>
    </w:pPr>
    <w:rPr>
      <w:iCs/>
    </w:rPr>
  </w:style>
  <w:style w:type="character" w:customStyle="1" w:styleId="DuidelijkcitaatChar">
    <w:name w:val="Duidelijk citaat Char"/>
    <w:aliases w:val="Highlight - Full frame - Soft green Char"/>
    <w:basedOn w:val="Standaardalinea-lettertype"/>
    <w:link w:val="Duidelijkcitaat"/>
    <w:uiPriority w:val="20"/>
    <w:rsid w:val="0077278D"/>
    <w:rPr>
      <w:iCs/>
      <w:sz w:val="21"/>
      <w:shd w:val="clear" w:color="auto" w:fill="B6E7DD" w:themeFill="accent5"/>
      <w:lang w:val="nl-NL"/>
    </w:rPr>
  </w:style>
  <w:style w:type="paragraph" w:styleId="Lijstalinea">
    <w:name w:val="List Paragraph"/>
    <w:basedOn w:val="Lijstopsomteken"/>
    <w:uiPriority w:val="34"/>
    <w:unhideWhenUsed/>
    <w:qFormat/>
    <w:rsid w:val="00CF6713"/>
  </w:style>
  <w:style w:type="paragraph" w:customStyle="1" w:styleId="Highlight-Fullframe-Softred">
    <w:name w:val="Highlight - Full frame - Soft red"/>
    <w:basedOn w:val="Duidelijkcitaat"/>
    <w:next w:val="Standaard"/>
    <w:uiPriority w:val="20"/>
    <w:qFormat/>
    <w:rsid w:val="008B3E7B"/>
    <w:pPr>
      <w:framePr w:wrap="around"/>
      <w:pBdr>
        <w:top w:val="single" w:sz="4" w:space="10" w:color="F8D7BC" w:themeColor="accent6"/>
        <w:left w:val="single" w:sz="4" w:space="10" w:color="F8D7BC" w:themeColor="accent6"/>
        <w:bottom w:val="single" w:sz="4" w:space="10" w:color="F8D7BC" w:themeColor="accent6"/>
        <w:right w:val="single" w:sz="4" w:space="10" w:color="F8D7BC" w:themeColor="accent6"/>
      </w:pBdr>
      <w:shd w:val="clear" w:color="auto" w:fill="F8D7BC" w:themeFill="accent6"/>
    </w:pPr>
  </w:style>
  <w:style w:type="paragraph" w:customStyle="1" w:styleId="Highlight-Borderframe-Softgreen">
    <w:name w:val="Highlight - Border frame - Soft green"/>
    <w:basedOn w:val="Duidelijkcitaat"/>
    <w:next w:val="Standaard"/>
    <w:uiPriority w:val="21"/>
    <w:qFormat/>
    <w:rsid w:val="008B3E7B"/>
    <w:pPr>
      <w:framePr w:wrap="around"/>
      <w:shd w:val="clear" w:color="auto" w:fill="auto"/>
    </w:pPr>
  </w:style>
  <w:style w:type="paragraph" w:customStyle="1" w:styleId="Highlight-Borderframe-Softred">
    <w:name w:val="Highlight - Border frame - Soft red"/>
    <w:basedOn w:val="Highlight-Borderframe-Softgreen"/>
    <w:next w:val="Standaard"/>
    <w:uiPriority w:val="21"/>
    <w:qFormat/>
    <w:rsid w:val="008B3E7B"/>
    <w:pPr>
      <w:framePr w:wrap="around"/>
      <w:pBdr>
        <w:top w:val="single" w:sz="24" w:space="10" w:color="F8D7BC" w:themeColor="accent6"/>
        <w:left w:val="single" w:sz="24" w:space="10" w:color="F8D7BC" w:themeColor="accent6"/>
        <w:bottom w:val="single" w:sz="24" w:space="10" w:color="F8D7BC" w:themeColor="accent6"/>
        <w:right w:val="single" w:sz="24" w:space="10" w:color="F8D7BC" w:themeColor="accent6"/>
      </w:pBdr>
    </w:pPr>
  </w:style>
  <w:style w:type="paragraph" w:styleId="Koptekst">
    <w:name w:val="header"/>
    <w:basedOn w:val="Voettekst"/>
    <w:link w:val="KoptekstChar"/>
    <w:unhideWhenUsed/>
    <w:rsid w:val="004E5098"/>
    <w:pPr>
      <w:spacing w:before="0" w:after="240" w:line="240" w:lineRule="auto"/>
    </w:pPr>
  </w:style>
  <w:style w:type="character" w:customStyle="1" w:styleId="KoptekstChar">
    <w:name w:val="Koptekst Char"/>
    <w:basedOn w:val="Standaardalinea-lettertype"/>
    <w:link w:val="Koptekst"/>
    <w:uiPriority w:val="36"/>
    <w:rsid w:val="00B978B4"/>
    <w:rPr>
      <w:rFonts w:ascii="Open Sans Light" w:hAnsi="Open Sans Light" w:cs="Times New Roman (Body CS)"/>
      <w:color w:val="535D5F"/>
      <w:sz w:val="18"/>
      <w:lang w:val="nl-NL"/>
    </w:rPr>
  </w:style>
  <w:style w:type="paragraph" w:styleId="Voettekst">
    <w:name w:val="footer"/>
    <w:basedOn w:val="Standaard"/>
    <w:link w:val="VoettekstChar"/>
    <w:unhideWhenUsed/>
    <w:rsid w:val="008A014D"/>
    <w:pPr>
      <w:tabs>
        <w:tab w:val="center" w:pos="4513"/>
        <w:tab w:val="right" w:pos="9026"/>
      </w:tabs>
      <w:spacing w:before="360" w:after="0" w:line="259" w:lineRule="auto"/>
      <w:jc w:val="right"/>
    </w:pPr>
    <w:rPr>
      <w:rFonts w:ascii="Open Sans Light" w:hAnsi="Open Sans Light" w:cs="Times New Roman (Body CS)"/>
      <w:color w:val="535D5F"/>
      <w:sz w:val="18"/>
    </w:rPr>
  </w:style>
  <w:style w:type="character" w:customStyle="1" w:styleId="VoettekstChar">
    <w:name w:val="Voettekst Char"/>
    <w:basedOn w:val="Standaardalinea-lettertype"/>
    <w:link w:val="Voettekst"/>
    <w:uiPriority w:val="37"/>
    <w:rsid w:val="00B978B4"/>
    <w:rPr>
      <w:rFonts w:ascii="Open Sans Light" w:hAnsi="Open Sans Light" w:cs="Times New Roman (Body CS)"/>
      <w:color w:val="535D5F"/>
      <w:sz w:val="18"/>
      <w:lang w:val="nl-NL"/>
    </w:rPr>
  </w:style>
  <w:style w:type="table" w:styleId="Tabelraster">
    <w:name w:val="Table Grid"/>
    <w:basedOn w:val="Standaardtabel"/>
    <w:uiPriority w:val="39"/>
    <w:rsid w:val="00AB381E"/>
    <w:pPr>
      <w:spacing w:before="100" w:beforeAutospacing="1" w:after="100" w:afterAutospacing="1"/>
    </w:pPr>
    <w:rPr>
      <w:rFonts w:ascii="Open Sans" w:hAnsi="Open Sans"/>
      <w:sz w:val="21"/>
    </w:rPr>
    <w:tblPr>
      <w:tblBorders>
        <w:top w:val="single" w:sz="4" w:space="0" w:color="09181B" w:themeColor="text1"/>
        <w:left w:val="single" w:sz="4" w:space="0" w:color="09181B" w:themeColor="text1"/>
        <w:bottom w:val="single" w:sz="4" w:space="0" w:color="09181B" w:themeColor="text1"/>
        <w:right w:val="single" w:sz="4" w:space="0" w:color="09181B" w:themeColor="text1"/>
        <w:insideH w:val="single" w:sz="4" w:space="0" w:color="09181B" w:themeColor="text1"/>
        <w:insideV w:val="single" w:sz="4" w:space="0" w:color="09181B" w:themeColor="text1"/>
      </w:tblBorders>
      <w:tblCellMar>
        <w:top w:w="108" w:type="dxa"/>
        <w:bottom w:w="108" w:type="dxa"/>
      </w:tblCellMar>
    </w:tblPr>
    <w:tcPr>
      <w:vAlign w:val="center"/>
    </w:tcPr>
  </w:style>
  <w:style w:type="paragraph" w:styleId="Bijschrift">
    <w:name w:val="caption"/>
    <w:basedOn w:val="Standaard"/>
    <w:next w:val="Standaard"/>
    <w:uiPriority w:val="69"/>
    <w:semiHidden/>
    <w:unhideWhenUsed/>
    <w:qFormat/>
    <w:rsid w:val="008B3E7B"/>
    <w:pPr>
      <w:spacing w:after="200" w:line="240" w:lineRule="auto"/>
    </w:pPr>
    <w:rPr>
      <w:rFonts w:ascii="Open Sans Light" w:hAnsi="Open Sans Light"/>
      <w:iCs/>
      <w:color w:val="535D5F"/>
      <w:sz w:val="18"/>
      <w:szCs w:val="18"/>
    </w:rPr>
  </w:style>
  <w:style w:type="character" w:styleId="Paginanummer">
    <w:name w:val="page number"/>
    <w:basedOn w:val="Standaardalinea-lettertype"/>
    <w:unhideWhenUsed/>
    <w:rsid w:val="00291D00"/>
    <w:rPr>
      <w:rFonts w:asciiTheme="minorHAnsi" w:hAnsiTheme="minorHAnsi"/>
      <w:b w:val="0"/>
      <w:i w:val="0"/>
      <w:sz w:val="21"/>
    </w:rPr>
  </w:style>
  <w:style w:type="paragraph" w:styleId="Lijstopsomteken">
    <w:name w:val="List Bullet"/>
    <w:basedOn w:val="Standaard"/>
    <w:uiPriority w:val="40"/>
    <w:unhideWhenUsed/>
    <w:qFormat/>
    <w:rsid w:val="003E0471"/>
    <w:pPr>
      <w:contextualSpacing/>
    </w:pPr>
  </w:style>
  <w:style w:type="paragraph" w:styleId="Lijstopsomteken2">
    <w:name w:val="List Bullet 2"/>
    <w:basedOn w:val="Standaard"/>
    <w:uiPriority w:val="99"/>
    <w:semiHidden/>
    <w:rsid w:val="003E0471"/>
    <w:pPr>
      <w:numPr>
        <w:numId w:val="9"/>
      </w:numPr>
      <w:contextualSpacing/>
    </w:pPr>
  </w:style>
  <w:style w:type="paragraph" w:styleId="Lijstnummering">
    <w:name w:val="List Number"/>
    <w:basedOn w:val="Standaard"/>
    <w:uiPriority w:val="40"/>
    <w:unhideWhenUsed/>
    <w:rsid w:val="003E0471"/>
    <w:pPr>
      <w:numPr>
        <w:numId w:val="5"/>
      </w:numPr>
      <w:contextualSpacing/>
    </w:pPr>
  </w:style>
  <w:style w:type="paragraph" w:styleId="Lijstnummering2">
    <w:name w:val="List Number 2"/>
    <w:basedOn w:val="Standaard"/>
    <w:uiPriority w:val="99"/>
    <w:semiHidden/>
    <w:rsid w:val="003E0471"/>
    <w:pPr>
      <w:numPr>
        <w:numId w:val="4"/>
      </w:numPr>
      <w:contextualSpacing/>
    </w:pPr>
  </w:style>
  <w:style w:type="paragraph" w:styleId="Inhopg1">
    <w:name w:val="toc 1"/>
    <w:basedOn w:val="Standaard"/>
    <w:next w:val="Standaard"/>
    <w:uiPriority w:val="39"/>
    <w:unhideWhenUsed/>
    <w:rsid w:val="00CD028C"/>
    <w:pPr>
      <w:spacing w:before="360" w:after="0"/>
    </w:pPr>
    <w:rPr>
      <w:rFonts w:cs="Times New Roman (Body CS)"/>
      <w:b/>
      <w:bCs/>
    </w:rPr>
  </w:style>
  <w:style w:type="paragraph" w:styleId="Inhopg2">
    <w:name w:val="toc 2"/>
    <w:basedOn w:val="Standaard"/>
    <w:next w:val="Standaard"/>
    <w:uiPriority w:val="39"/>
    <w:unhideWhenUsed/>
    <w:rsid w:val="0065746C"/>
    <w:pPr>
      <w:tabs>
        <w:tab w:val="right" w:pos="9628"/>
      </w:tabs>
      <w:spacing w:before="240" w:after="240"/>
      <w:ind w:left="210"/>
    </w:pPr>
    <w:rPr>
      <w:rFonts w:cs="Open Sans (Body)"/>
      <w:b/>
      <w:bCs/>
      <w:noProof/>
      <w:szCs w:val="20"/>
    </w:rPr>
  </w:style>
  <w:style w:type="paragraph" w:styleId="Inhopg3">
    <w:name w:val="toc 3"/>
    <w:basedOn w:val="Standaard"/>
    <w:next w:val="Standaard"/>
    <w:uiPriority w:val="39"/>
    <w:unhideWhenUsed/>
    <w:rsid w:val="00AF2820"/>
    <w:pPr>
      <w:spacing w:after="0"/>
      <w:ind w:left="210"/>
    </w:pPr>
    <w:rPr>
      <w:rFonts w:cstheme="minorHAnsi"/>
      <w:szCs w:val="20"/>
    </w:rPr>
  </w:style>
  <w:style w:type="paragraph" w:styleId="Inhopg4">
    <w:name w:val="toc 4"/>
    <w:basedOn w:val="Standaard"/>
    <w:next w:val="Standaard"/>
    <w:uiPriority w:val="35"/>
    <w:unhideWhenUsed/>
    <w:rsid w:val="00CD028C"/>
    <w:pPr>
      <w:tabs>
        <w:tab w:val="right" w:pos="9628"/>
      </w:tabs>
      <w:spacing w:after="0"/>
      <w:ind w:left="420"/>
    </w:pPr>
    <w:rPr>
      <w:rFonts w:cs="Open Sans (Body)"/>
      <w:noProof/>
      <w:color w:val="535D5F"/>
      <w:szCs w:val="20"/>
    </w:rPr>
  </w:style>
  <w:style w:type="paragraph" w:styleId="Inhopg5">
    <w:name w:val="toc 5"/>
    <w:basedOn w:val="Standaard"/>
    <w:next w:val="Standaard"/>
    <w:autoRedefine/>
    <w:uiPriority w:val="35"/>
    <w:semiHidden/>
    <w:rsid w:val="008A014D"/>
    <w:pPr>
      <w:spacing w:after="0"/>
      <w:ind w:left="630"/>
    </w:pPr>
    <w:rPr>
      <w:rFonts w:cstheme="minorHAnsi"/>
      <w:sz w:val="20"/>
      <w:szCs w:val="20"/>
    </w:rPr>
  </w:style>
  <w:style w:type="paragraph" w:styleId="Inhopg6">
    <w:name w:val="toc 6"/>
    <w:basedOn w:val="Standaard"/>
    <w:next w:val="Standaard"/>
    <w:autoRedefine/>
    <w:uiPriority w:val="35"/>
    <w:semiHidden/>
    <w:rsid w:val="008A014D"/>
    <w:pPr>
      <w:spacing w:after="0"/>
      <w:ind w:left="840"/>
    </w:pPr>
    <w:rPr>
      <w:rFonts w:cstheme="minorHAnsi"/>
      <w:sz w:val="20"/>
      <w:szCs w:val="20"/>
    </w:rPr>
  </w:style>
  <w:style w:type="paragraph" w:styleId="Inhopg7">
    <w:name w:val="toc 7"/>
    <w:basedOn w:val="Standaard"/>
    <w:next w:val="Standaard"/>
    <w:autoRedefine/>
    <w:uiPriority w:val="35"/>
    <w:semiHidden/>
    <w:rsid w:val="008A014D"/>
    <w:pPr>
      <w:spacing w:after="0"/>
      <w:ind w:left="1050"/>
    </w:pPr>
    <w:rPr>
      <w:rFonts w:cstheme="minorHAnsi"/>
      <w:sz w:val="20"/>
      <w:szCs w:val="20"/>
    </w:rPr>
  </w:style>
  <w:style w:type="paragraph" w:styleId="Inhopg8">
    <w:name w:val="toc 8"/>
    <w:basedOn w:val="Standaard"/>
    <w:next w:val="Standaard"/>
    <w:autoRedefine/>
    <w:uiPriority w:val="35"/>
    <w:semiHidden/>
    <w:rsid w:val="008A014D"/>
    <w:pPr>
      <w:spacing w:after="0"/>
      <w:ind w:left="1260"/>
    </w:pPr>
    <w:rPr>
      <w:rFonts w:cstheme="minorHAnsi"/>
      <w:sz w:val="20"/>
      <w:szCs w:val="20"/>
    </w:rPr>
  </w:style>
  <w:style w:type="paragraph" w:styleId="Inhopg9">
    <w:name w:val="toc 9"/>
    <w:basedOn w:val="Standaard"/>
    <w:next w:val="Standaard"/>
    <w:autoRedefine/>
    <w:uiPriority w:val="35"/>
    <w:semiHidden/>
    <w:rsid w:val="008A014D"/>
    <w:pPr>
      <w:spacing w:after="0"/>
      <w:ind w:left="1470"/>
    </w:pPr>
    <w:rPr>
      <w:rFonts w:cstheme="minorHAnsi"/>
      <w:sz w:val="20"/>
      <w:szCs w:val="20"/>
    </w:rPr>
  </w:style>
  <w:style w:type="character" w:styleId="Hyperlink">
    <w:name w:val="Hyperlink"/>
    <w:basedOn w:val="Standaardalinea-lettertype"/>
    <w:uiPriority w:val="99"/>
    <w:rsid w:val="008A014D"/>
    <w:rPr>
      <w:color w:val="057A8B" w:themeColor="hyperlink"/>
      <w:u w:val="single"/>
    </w:rPr>
  </w:style>
  <w:style w:type="paragraph" w:customStyle="1" w:styleId="Handwritten">
    <w:name w:val="Handwritten"/>
    <w:basedOn w:val="Standaard"/>
    <w:next w:val="Standaard"/>
    <w:uiPriority w:val="22"/>
    <w:qFormat/>
    <w:rsid w:val="00D13942"/>
    <w:rPr>
      <w:rFonts w:ascii="Pecita" w:eastAsia="Pecita" w:hAnsi="Pecita" w:cs="Times New Roman (Body CS)"/>
      <w:sz w:val="24"/>
      <w14:ligatures w14:val="all"/>
    </w:rPr>
  </w:style>
  <w:style w:type="character" w:customStyle="1" w:styleId="UnresolvedMention1">
    <w:name w:val="Unresolved Mention1"/>
    <w:basedOn w:val="Standaardalinea-lettertype"/>
    <w:uiPriority w:val="99"/>
    <w:semiHidden/>
    <w:unhideWhenUsed/>
    <w:rsid w:val="00C35F6F"/>
    <w:rPr>
      <w:rFonts w:asciiTheme="minorHAnsi" w:hAnsiTheme="minorHAnsi"/>
      <w:b w:val="0"/>
      <w:i w:val="0"/>
      <w:color w:val="605E5C"/>
      <w:sz w:val="21"/>
      <w:shd w:val="clear" w:color="auto" w:fill="E1DFDD"/>
    </w:rPr>
  </w:style>
  <w:style w:type="table" w:customStyle="1" w:styleId="BasicTable">
    <w:name w:val="Basic Table"/>
    <w:basedOn w:val="Standaardtabel"/>
    <w:uiPriority w:val="99"/>
    <w:rsid w:val="004412D1"/>
    <w:rPr>
      <w:sz w:val="21"/>
    </w:rPr>
    <w:tblPr>
      <w:tblBorders>
        <w:top w:val="single" w:sz="8" w:space="0" w:color="057A8B" w:themeColor="text2"/>
        <w:left w:val="single" w:sz="8" w:space="0" w:color="057A8B" w:themeColor="text2"/>
        <w:bottom w:val="single" w:sz="8" w:space="0" w:color="057A8B" w:themeColor="text2"/>
        <w:right w:val="single" w:sz="8" w:space="0" w:color="057A8B" w:themeColor="text2"/>
        <w:insideH w:val="single" w:sz="4" w:space="0" w:color="B6E7DD" w:themeColor="accent5"/>
        <w:insideV w:val="single" w:sz="4" w:space="0" w:color="B6E7DD" w:themeColor="accent5"/>
      </w:tblBorders>
      <w:tblCellMar>
        <w:top w:w="147" w:type="dxa"/>
        <w:left w:w="147" w:type="dxa"/>
        <w:bottom w:w="147" w:type="dxa"/>
        <w:right w:w="147" w:type="dxa"/>
      </w:tblCellMar>
    </w:tblPr>
    <w:tcPr>
      <w:vAlign w:val="center"/>
    </w:tcPr>
    <w:tblStylePr w:type="firstRow">
      <w:rPr>
        <w:b/>
      </w:rP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tblStylePr w:type="firstCol">
      <w:rPr>
        <w:b/>
      </w:rPr>
      <w:tblPr>
        <w:tblCellMar>
          <w:top w:w="113" w:type="dxa"/>
          <w:left w:w="113" w:type="dxa"/>
          <w:bottom w:w="113" w:type="dxa"/>
          <w:right w:w="113" w:type="dxa"/>
        </w:tblCellMa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style>
  <w:style w:type="character" w:styleId="Subtielebenadrukking">
    <w:name w:val="Subtle Emphasis"/>
    <w:basedOn w:val="Standaardalinea-lettertype"/>
    <w:uiPriority w:val="39"/>
    <w:semiHidden/>
    <w:rsid w:val="00F63D50"/>
    <w:rPr>
      <w:i/>
      <w:iCs/>
      <w:color w:val="266674" w:themeColor="text1" w:themeTint="BF"/>
    </w:rPr>
  </w:style>
  <w:style w:type="character" w:styleId="Subtieleverwijzing">
    <w:name w:val="Subtle Reference"/>
    <w:basedOn w:val="Standaardalinea-lettertype"/>
    <w:uiPriority w:val="39"/>
    <w:semiHidden/>
    <w:rsid w:val="00F63D50"/>
    <w:rPr>
      <w:smallCaps/>
      <w:color w:val="328798" w:themeColor="text1" w:themeTint="A5"/>
    </w:rPr>
  </w:style>
  <w:style w:type="character" w:styleId="Intensieveverwijzing">
    <w:name w:val="Intense Reference"/>
    <w:basedOn w:val="Standaardalinea-lettertype"/>
    <w:uiPriority w:val="39"/>
    <w:semiHidden/>
    <w:rsid w:val="00F63D50"/>
    <w:rPr>
      <w:b/>
      <w:bCs/>
      <w:smallCaps/>
      <w:color w:val="00566B" w:themeColor="accent1"/>
      <w:spacing w:val="5"/>
    </w:rPr>
  </w:style>
  <w:style w:type="paragraph" w:styleId="Eindnoottekst">
    <w:name w:val="endnote text"/>
    <w:basedOn w:val="Standaard"/>
    <w:link w:val="EindnoottekstChar"/>
    <w:uiPriority w:val="38"/>
    <w:semiHidden/>
    <w:unhideWhenUsed/>
    <w:rsid w:val="00B978B4"/>
    <w:pPr>
      <w:spacing w:after="120" w:line="240" w:lineRule="auto"/>
    </w:pPr>
    <w:rPr>
      <w:szCs w:val="20"/>
    </w:rPr>
  </w:style>
  <w:style w:type="character" w:customStyle="1" w:styleId="EindnoottekstChar">
    <w:name w:val="Eindnoottekst Char"/>
    <w:basedOn w:val="Standaardalinea-lettertype"/>
    <w:link w:val="Eindnoottekst"/>
    <w:uiPriority w:val="38"/>
    <w:semiHidden/>
    <w:rsid w:val="00B978B4"/>
    <w:rPr>
      <w:sz w:val="21"/>
      <w:szCs w:val="20"/>
      <w:lang w:val="nl-NL"/>
    </w:rPr>
  </w:style>
  <w:style w:type="character" w:styleId="Eindnootmarkering">
    <w:name w:val="endnote reference"/>
    <w:basedOn w:val="Standaardalinea-lettertype"/>
    <w:uiPriority w:val="38"/>
    <w:semiHidden/>
    <w:unhideWhenUsed/>
    <w:rsid w:val="00B978B4"/>
    <w:rPr>
      <w:b/>
      <w:color w:val="057A8B" w:themeColor="text2"/>
      <w:vertAlign w:val="superscript"/>
    </w:rPr>
  </w:style>
  <w:style w:type="character" w:styleId="Voetnootmarkering">
    <w:name w:val="footnote reference"/>
    <w:basedOn w:val="Standaardalinea-lettertype"/>
    <w:uiPriority w:val="99"/>
    <w:unhideWhenUsed/>
    <w:rsid w:val="00B978B4"/>
    <w:rPr>
      <w:b/>
      <w:color w:val="057A8B" w:themeColor="text2"/>
      <w:vertAlign w:val="superscript"/>
    </w:rPr>
  </w:style>
  <w:style w:type="paragraph" w:styleId="Voetnoottekst">
    <w:name w:val="footnote text"/>
    <w:basedOn w:val="Standaard"/>
    <w:link w:val="VoetnoottekstChar"/>
    <w:uiPriority w:val="99"/>
    <w:unhideWhenUsed/>
    <w:rsid w:val="00B978B4"/>
    <w:pPr>
      <w:spacing w:after="0" w:line="240" w:lineRule="auto"/>
    </w:pPr>
    <w:rPr>
      <w:color w:val="535D5F"/>
      <w:sz w:val="16"/>
      <w:szCs w:val="20"/>
    </w:rPr>
  </w:style>
  <w:style w:type="character" w:customStyle="1" w:styleId="VoetnoottekstChar">
    <w:name w:val="Voetnoottekst Char"/>
    <w:basedOn w:val="Standaardalinea-lettertype"/>
    <w:link w:val="Voetnoottekst"/>
    <w:uiPriority w:val="99"/>
    <w:rsid w:val="00B978B4"/>
    <w:rPr>
      <w:color w:val="535D5F"/>
      <w:sz w:val="16"/>
      <w:szCs w:val="20"/>
      <w:lang w:val="nl-NL"/>
    </w:rPr>
  </w:style>
  <w:style w:type="character" w:customStyle="1" w:styleId="normaltextrun">
    <w:name w:val="normaltextrun"/>
    <w:basedOn w:val="Standaardalinea-lettertype"/>
    <w:rsid w:val="003B42A8"/>
  </w:style>
  <w:style w:type="character" w:styleId="Verwijzingopmerking">
    <w:name w:val="annotation reference"/>
    <w:basedOn w:val="Standaardalinea-lettertype"/>
    <w:uiPriority w:val="99"/>
    <w:semiHidden/>
    <w:unhideWhenUsed/>
    <w:rsid w:val="00A072FC"/>
    <w:rPr>
      <w:sz w:val="16"/>
      <w:szCs w:val="16"/>
    </w:rPr>
  </w:style>
  <w:style w:type="paragraph" w:styleId="Tekstopmerking">
    <w:name w:val="annotation text"/>
    <w:basedOn w:val="Standaard"/>
    <w:link w:val="TekstopmerkingChar"/>
    <w:uiPriority w:val="99"/>
    <w:semiHidden/>
    <w:unhideWhenUsed/>
    <w:rsid w:val="00A072F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072FC"/>
    <w:rPr>
      <w:sz w:val="20"/>
      <w:szCs w:val="20"/>
    </w:rPr>
  </w:style>
  <w:style w:type="paragraph" w:styleId="Onderwerpvanopmerking">
    <w:name w:val="annotation subject"/>
    <w:basedOn w:val="Tekstopmerking"/>
    <w:next w:val="Tekstopmerking"/>
    <w:link w:val="OnderwerpvanopmerkingChar"/>
    <w:uiPriority w:val="99"/>
    <w:semiHidden/>
    <w:unhideWhenUsed/>
    <w:rsid w:val="00A072FC"/>
    <w:rPr>
      <w:b/>
      <w:bCs/>
    </w:rPr>
  </w:style>
  <w:style w:type="character" w:customStyle="1" w:styleId="OnderwerpvanopmerkingChar">
    <w:name w:val="Onderwerp van opmerking Char"/>
    <w:basedOn w:val="TekstopmerkingChar"/>
    <w:link w:val="Onderwerpvanopmerking"/>
    <w:uiPriority w:val="99"/>
    <w:semiHidden/>
    <w:rsid w:val="00A072FC"/>
    <w:rPr>
      <w:b/>
      <w:bCs/>
      <w:sz w:val="20"/>
      <w:szCs w:val="20"/>
    </w:rPr>
  </w:style>
  <w:style w:type="paragraph" w:styleId="Ballontekst">
    <w:name w:val="Balloon Text"/>
    <w:basedOn w:val="Standaard"/>
    <w:link w:val="BallontekstChar"/>
    <w:uiPriority w:val="99"/>
    <w:semiHidden/>
    <w:unhideWhenUsed/>
    <w:rsid w:val="00A072F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072FC"/>
    <w:rPr>
      <w:rFonts w:ascii="Segoe UI" w:hAnsi="Segoe UI" w:cs="Segoe UI"/>
      <w:sz w:val="18"/>
      <w:szCs w:val="18"/>
    </w:rPr>
  </w:style>
  <w:style w:type="paragraph" w:styleId="Revisie">
    <w:name w:val="Revision"/>
    <w:hidden/>
    <w:uiPriority w:val="99"/>
    <w:semiHidden/>
    <w:rsid w:val="00351647"/>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31776">
      <w:bodyDiv w:val="1"/>
      <w:marLeft w:val="0"/>
      <w:marRight w:val="0"/>
      <w:marTop w:val="0"/>
      <w:marBottom w:val="0"/>
      <w:divBdr>
        <w:top w:val="none" w:sz="0" w:space="0" w:color="auto"/>
        <w:left w:val="none" w:sz="0" w:space="0" w:color="auto"/>
        <w:bottom w:val="none" w:sz="0" w:space="0" w:color="auto"/>
        <w:right w:val="none" w:sz="0" w:space="0" w:color="auto"/>
      </w:divBdr>
    </w:div>
    <w:div w:id="182158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7.png"/><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7.png"/><Relationship Id="rId1" Type="http://schemas.openxmlformats.org/officeDocument/2006/relationships/image" Target="media/image8.png"/></Relationships>
</file>

<file path=word/_rels/footer4.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ene.steegmans\OneDrive%20-%20GCloud%20Belgium\Downloads\BOSA%20O365%20Word%20template%20NL%20final%20(2).dotx" TargetMode="External"/></Relationships>
</file>

<file path=word/theme/theme1.xml><?xml version="1.0" encoding="utf-8"?>
<a:theme xmlns:a="http://schemas.openxmlformats.org/drawingml/2006/main" name="BOSA O365 Theme">
  <a:themeElements>
    <a:clrScheme name="BOSA 0365">
      <a:dk1>
        <a:srgbClr val="09181B"/>
      </a:dk1>
      <a:lt1>
        <a:srgbClr val="FFFFFF"/>
      </a:lt1>
      <a:dk2>
        <a:srgbClr val="057A8B"/>
      </a:dk2>
      <a:lt2>
        <a:srgbClr val="FFF8DC"/>
      </a:lt2>
      <a:accent1>
        <a:srgbClr val="00566B"/>
      </a:accent1>
      <a:accent2>
        <a:srgbClr val="FFED75"/>
      </a:accent2>
      <a:accent3>
        <a:srgbClr val="2CB8A5"/>
      </a:accent3>
      <a:accent4>
        <a:srgbClr val="FC6D71"/>
      </a:accent4>
      <a:accent5>
        <a:srgbClr val="B6E7DD"/>
      </a:accent5>
      <a:accent6>
        <a:srgbClr val="F8D7BC"/>
      </a:accent6>
      <a:hlink>
        <a:srgbClr val="057A8B"/>
      </a:hlink>
      <a:folHlink>
        <a:srgbClr val="00566B"/>
      </a:folHlink>
    </a:clrScheme>
    <a:fontScheme name="BOSA Theme Fonts">
      <a:majorFont>
        <a:latin typeface="Montserrat"/>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NL" ma:contentTypeID="0x0101005E9F411C672D954C96A61C274DF7BA7D009362E78C6000054A9C951113114EC8FE" ma:contentTypeVersion="41" ma:contentTypeDescription="BOSA Intranet document NL" ma:contentTypeScope="" ma:versionID="1505807be49787e8e0508cbf1c4bdef9">
  <xsd:schema xmlns:xsd="http://www.w3.org/2001/XMLSchema" xmlns:xs="http://www.w3.org/2001/XMLSchema" xmlns:p="http://schemas.microsoft.com/office/2006/metadata/properties" xmlns:ns2="d7478dc8-84be-4f0b-aead-7d1de4e9c2ed" xmlns:ns3="8e3ed0d1-df29-4767-9724-d31a12cb0957" xmlns:ns4="f999d4ed-65d8-4fdd-90f4-adf607743db8" xmlns:ns5="http://schemas.microsoft.com/sharepoint/v4" targetNamespace="http://schemas.microsoft.com/office/2006/metadata/properties" ma:root="true" ma:fieldsID="733c78893ae65e6a6b67f17447e3d788" ns2:_="" ns3:_="" ns4:_="" ns5:_="">
    <xsd:import namespace="d7478dc8-84be-4f0b-aead-7d1de4e9c2ed"/>
    <xsd:import namespace="8e3ed0d1-df29-4767-9724-d31a12cb0957"/>
    <xsd:import namespace="f999d4ed-65d8-4fdd-90f4-adf607743db8"/>
    <xsd:import namespace="http://schemas.microsoft.com/sharepoint/v4"/>
    <xsd:element name="properties">
      <xsd:complexType>
        <xsd:sequence>
          <xsd:element name="documentManagement">
            <xsd:complexType>
              <xsd:all>
                <xsd:element ref="ns2:DocTypeNL" minOccurs="0"/>
                <xsd:element ref="ns2:fef16ed2e0584a9d9313846c9f509c80" minOccurs="0"/>
                <xsd:element ref="ns2:TaxCatchAll" minOccurs="0"/>
                <xsd:element ref="ns2:TaxCatchAllLabel" minOccurs="0"/>
                <xsd:element ref="ns3:MediaServiceMetadata" minOccurs="0"/>
                <xsd:element ref="ns3:MediaServiceFastMetadata" minOccurs="0"/>
                <xsd:element ref="ns2:_dlc_DocId" minOccurs="0"/>
                <xsd:element ref="ns2:_dlc_DocIdUrl" minOccurs="0"/>
                <xsd:element ref="ns2:_dlc_DocIdPersistId" minOccurs="0"/>
                <xsd:element ref="ns4:SharedWithUsers" minOccurs="0"/>
                <xsd:element ref="ns4:SharedWithDetails" minOccurs="0"/>
                <xsd:element ref="ns5:IconOverlay"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478dc8-84be-4f0b-aead-7d1de4e9c2ed" elementFormDefault="qualified">
    <xsd:import namespace="http://schemas.microsoft.com/office/2006/documentManagement/types"/>
    <xsd:import namespace="http://schemas.microsoft.com/office/infopath/2007/PartnerControls"/>
    <xsd:element name="DocTypeNL" ma:index="8" nillable="true" ma:displayName="DocTypeNL" ma:format="Dropdown" ma:internalName="DocTypeNL">
      <xsd:simpleType>
        <xsd:restriction base="dms:Choice">
          <xsd:enumeration value="Brochure"/>
          <xsd:enumeration value="Formulier"/>
          <xsd:enumeration value="Handleiding"/>
          <xsd:enumeration value="Info"/>
          <xsd:enumeration value="Nota"/>
          <xsd:enumeration value="Omzendbrief"/>
          <xsd:enumeration value="Persbericht"/>
          <xsd:enumeration value="Plan"/>
          <xsd:enumeration value="Presentatie"/>
          <xsd:enumeration value="Procedure"/>
          <xsd:enumeration value="Rapport"/>
          <xsd:enumeration value="Reglementering"/>
          <xsd:enumeration value="Richtlijnen"/>
          <xsd:enumeration value="Template"/>
          <xsd:enumeration value="Verslag"/>
        </xsd:restriction>
      </xsd:simpleType>
    </xsd:element>
    <xsd:element name="fef16ed2e0584a9d9313846c9f509c80" ma:index="9" nillable="true" ma:taxonomy="true" ma:internalName="fef16ed2e0584a9d9313846c9f509c80" ma:taxonomyFieldName="ThemeNL" ma:displayName="ThemeNL" ma:default="" ma:fieldId="{fef16ed2-e058-4a9d-9313-846c9f509c80}" ma:sspId="3677b756-bb6c-42c0-a500-a3c5d40b597f" ma:termSetId="fb8acecb-7b49-4244-95a2-a00b1cbf808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d31cfbd7-ee35-4fe9-98bf-9458fb63e5e9}" ma:internalName="TaxCatchAll" ma:showField="CatchAllData" ma:web="d7478dc8-84be-4f0b-aead-7d1de4e9c2ed">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d31cfbd7-ee35-4fe9-98bf-9458fb63e5e9}" ma:internalName="TaxCatchAllLabel" ma:readOnly="true" ma:showField="CatchAllDataLabel" ma:web="d7478dc8-84be-4f0b-aead-7d1de4e9c2ed">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e3ed0d1-df29-4767-9724-d31a12cb0957"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99d4ed-65d8-4fdd-90f4-adf607743db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ocTypeNL xmlns="d7478dc8-84be-4f0b-aead-7d1de4e9c2ed">Template</DocTypeNL>
    <fef16ed2e0584a9d9313846c9f509c80 xmlns="d7478dc8-84be-4f0b-aead-7d1de4e9c2ed">
      <Terms xmlns="http://schemas.microsoft.com/office/infopath/2007/PartnerControls">
        <TermInfo xmlns="http://schemas.microsoft.com/office/infopath/2007/PartnerControls">
          <TermName xmlns="http://schemas.microsoft.com/office/infopath/2007/PartnerControls">Stijlgids</TermName>
          <TermId xmlns="http://schemas.microsoft.com/office/infopath/2007/PartnerControls">ed4158ac-de75-443c-b961-445511f87be6</TermId>
        </TermInfo>
      </Terms>
    </fef16ed2e0584a9d9313846c9f509c80>
    <IconOverlay xmlns="http://schemas.microsoft.com/sharepoint/v4" xsi:nil="true"/>
    <TaxCatchAll xmlns="d7478dc8-84be-4f0b-aead-7d1de4e9c2ed">
      <Value>340</Value>
    </TaxCatchAll>
    <_dlc_DocId xmlns="d7478dc8-84be-4f0b-aead-7d1de4e9c2ed">BOSAKNOW-1493941337-861</_dlc_DocId>
    <_dlc_DocIdUrl xmlns="d7478dc8-84be-4f0b-aead-7d1de4e9c2ed">
      <Url>https://gcloudbelgium.sharepoint.com/sites/BOSAknow/Intranet/NL/_layouts/15/DocIdRedir.aspx?ID=BOSAKNOW-1493941337-861</Url>
      <Description>BOSAKNOW-1493941337-861</Description>
    </_dlc_DocIdUrl>
  </documentManagement>
</p:properties>
</file>

<file path=customXml/itemProps1.xml><?xml version="1.0" encoding="utf-8"?>
<ds:datastoreItem xmlns:ds="http://schemas.openxmlformats.org/officeDocument/2006/customXml" ds:itemID="{3CC4D36C-E710-43DE-994B-CF76877BE77F}">
  <ds:schemaRefs>
    <ds:schemaRef ds:uri="http://schemas.openxmlformats.org/officeDocument/2006/bibliography"/>
  </ds:schemaRefs>
</ds:datastoreItem>
</file>

<file path=customXml/itemProps2.xml><?xml version="1.0" encoding="utf-8"?>
<ds:datastoreItem xmlns:ds="http://schemas.openxmlformats.org/officeDocument/2006/customXml" ds:itemID="{F91963D0-E9BF-427F-B957-02FA6E1D5315}">
  <ds:schemaRefs>
    <ds:schemaRef ds:uri="http://schemas.microsoft.com/sharepoint/v3/contenttype/forms"/>
  </ds:schemaRefs>
</ds:datastoreItem>
</file>

<file path=customXml/itemProps3.xml><?xml version="1.0" encoding="utf-8"?>
<ds:datastoreItem xmlns:ds="http://schemas.openxmlformats.org/officeDocument/2006/customXml" ds:itemID="{F17463B9-389C-4CEF-9715-55C7C77BE876}">
  <ds:schemaRefs>
    <ds:schemaRef ds:uri="http://schemas.microsoft.com/sharepoint/events"/>
  </ds:schemaRefs>
</ds:datastoreItem>
</file>

<file path=customXml/itemProps4.xml><?xml version="1.0" encoding="utf-8"?>
<ds:datastoreItem xmlns:ds="http://schemas.openxmlformats.org/officeDocument/2006/customXml" ds:itemID="{4412A12B-F97A-436C-B099-4D3068D5C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478dc8-84be-4f0b-aead-7d1de4e9c2ed"/>
    <ds:schemaRef ds:uri="8e3ed0d1-df29-4767-9724-d31a12cb0957"/>
    <ds:schemaRef ds:uri="f999d4ed-65d8-4fdd-90f4-adf607743db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159A94B-A9C5-4EC6-8992-82236EA409FD}">
  <ds:schemaRefs>
    <ds:schemaRef ds:uri="http://schemas.microsoft.com/office/2006/metadata/properties"/>
    <ds:schemaRef ds:uri="http://schemas.microsoft.com/office/infopath/2007/PartnerControls"/>
    <ds:schemaRef ds:uri="d7478dc8-84be-4f0b-aead-7d1de4e9c2ed"/>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BOSA O365 Word template NL final (2)</Template>
  <TotalTime>0</TotalTime>
  <Pages>7</Pages>
  <Words>1158</Words>
  <Characters>6373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BOSA Word template NL</vt:lpstr>
    </vt:vector>
  </TitlesOfParts>
  <Company/>
  <LinksUpToDate>false</LinksUpToDate>
  <CharactersWithSpaces>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BOSA Word template NL</dc:title>
  <dc:subject/>
  <dc:creator>Hélène Steegmans</dc:creator>
  <cp:keywords/>
  <dc:description/>
  <cp:lastModifiedBy>Laurence Mortier (BOSA)</cp:lastModifiedBy>
  <cp:revision>4</cp:revision>
  <cp:lastPrinted>2021-11-04T14:02:00Z</cp:lastPrinted>
  <dcterms:created xsi:type="dcterms:W3CDTF">2022-07-18T12:03:00Z</dcterms:created>
  <dcterms:modified xsi:type="dcterms:W3CDTF">2022-07-18T12:06:00Z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0x0101005E9F411C672D954C96A61C274DF7BA7D009362E78C6000054A9C951113114EC8FE</vt:lpwstr>
  </property>
  <property fmtid="{D5CDD505-2E9C-101B-9397-08002B2CF9AE}" pid="3" name="ThemeNL">
    <vt:lpwstr>340;#Stijlgids|ed4158ac-de75-443c-b961-445511f87be6</vt:lpwstr>
  </property>
  <property fmtid="{D5CDD505-2E9C-101B-9397-08002B2CF9AE}" pid="4" name="_dlc_DocIdItemGuid">
    <vt:lpwstr>5c5bcf81-f11d-485e-abb5-7445cc5ed739</vt:lpwstr>
  </property>
</Properties>
</file>